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59" w:rsidRPr="00360818" w:rsidRDefault="00744759" w:rsidP="00F06024">
      <w:pPr>
        <w:rPr>
          <w:rFonts w:ascii="Verdana" w:hAnsi="Verdana"/>
          <w:b/>
          <w:sz w:val="24"/>
          <w:szCs w:val="24"/>
          <w:lang w:val="es-CL"/>
        </w:rPr>
      </w:pPr>
      <w:r w:rsidRPr="00360818">
        <w:rPr>
          <w:rFonts w:ascii="Verdana" w:hAnsi="Verdana"/>
          <w:b/>
          <w:sz w:val="24"/>
          <w:szCs w:val="24"/>
          <w:lang w:val="es-CL"/>
        </w:rPr>
        <w:t>Introducción</w:t>
      </w:r>
    </w:p>
    <w:p w:rsidR="00744759" w:rsidRDefault="00DA0A39" w:rsidP="00744759">
      <w:pPr>
        <w:jc w:val="both"/>
        <w:rPr>
          <w:rFonts w:ascii="Verdana" w:hAnsi="Verdana"/>
          <w:sz w:val="24"/>
          <w:szCs w:val="24"/>
          <w:lang w:val="es-CL"/>
        </w:rPr>
      </w:pPr>
      <w:r>
        <w:rPr>
          <w:rFonts w:ascii="Verdana" w:hAnsi="Verdana"/>
          <w:sz w:val="24"/>
          <w:szCs w:val="24"/>
          <w:lang w:val="es-CL"/>
        </w:rPr>
        <w:t>L</w:t>
      </w:r>
      <w:r w:rsidR="00744759">
        <w:rPr>
          <w:rFonts w:ascii="Verdana" w:hAnsi="Verdana"/>
          <w:sz w:val="24"/>
          <w:szCs w:val="24"/>
          <w:lang w:val="es-CL"/>
        </w:rPr>
        <w:t>a Convención sobre los Derechos de las Personas con Discapacidad</w:t>
      </w:r>
      <w:r>
        <w:rPr>
          <w:rFonts w:ascii="Verdana" w:hAnsi="Verdana"/>
          <w:sz w:val="24"/>
          <w:szCs w:val="24"/>
          <w:lang w:val="es-CL"/>
        </w:rPr>
        <w:t xml:space="preserve"> de Naciones Unidas</w:t>
      </w:r>
      <w:r w:rsidR="00744759">
        <w:rPr>
          <w:rFonts w:ascii="Verdana" w:hAnsi="Verdana"/>
          <w:sz w:val="24"/>
          <w:szCs w:val="24"/>
          <w:lang w:val="es-CL"/>
        </w:rPr>
        <w:t xml:space="preserve"> instaura </w:t>
      </w:r>
      <w:r w:rsidR="00E90C45">
        <w:rPr>
          <w:rFonts w:ascii="Verdana" w:hAnsi="Verdana"/>
          <w:sz w:val="24"/>
          <w:szCs w:val="24"/>
          <w:lang w:val="es-CL"/>
        </w:rPr>
        <w:t>el</w:t>
      </w:r>
      <w:r w:rsidR="00744759">
        <w:rPr>
          <w:rFonts w:ascii="Verdana" w:hAnsi="Verdana"/>
          <w:sz w:val="24"/>
          <w:szCs w:val="24"/>
          <w:lang w:val="es-CL"/>
        </w:rPr>
        <w:t xml:space="preserve"> modelo de derechos</w:t>
      </w:r>
      <w:r>
        <w:rPr>
          <w:rFonts w:ascii="Verdana" w:hAnsi="Verdana"/>
          <w:sz w:val="24"/>
          <w:szCs w:val="24"/>
          <w:lang w:val="es-CL"/>
        </w:rPr>
        <w:t xml:space="preserve"> humanos</w:t>
      </w:r>
      <w:r w:rsidR="00744759">
        <w:rPr>
          <w:rFonts w:ascii="Verdana" w:hAnsi="Verdana"/>
          <w:sz w:val="24"/>
          <w:szCs w:val="24"/>
          <w:lang w:val="es-CL"/>
        </w:rPr>
        <w:t xml:space="preserve">, </w:t>
      </w:r>
      <w:r>
        <w:rPr>
          <w:rFonts w:ascii="Verdana" w:hAnsi="Verdana"/>
          <w:sz w:val="24"/>
          <w:szCs w:val="24"/>
          <w:lang w:val="es-CL"/>
        </w:rPr>
        <w:t xml:space="preserve">el </w:t>
      </w:r>
      <w:r w:rsidR="00744759">
        <w:rPr>
          <w:rFonts w:ascii="Verdana" w:hAnsi="Verdana"/>
          <w:sz w:val="24"/>
          <w:szCs w:val="24"/>
          <w:lang w:val="es-CL"/>
        </w:rPr>
        <w:t xml:space="preserve">que </w:t>
      </w:r>
      <w:r>
        <w:rPr>
          <w:rFonts w:ascii="Verdana" w:hAnsi="Verdana"/>
          <w:sz w:val="24"/>
          <w:szCs w:val="24"/>
          <w:lang w:val="es-CL"/>
        </w:rPr>
        <w:t>reitera que</w:t>
      </w:r>
      <w:r w:rsidR="00744759">
        <w:rPr>
          <w:rFonts w:ascii="Verdana" w:hAnsi="Verdana"/>
          <w:sz w:val="24"/>
          <w:szCs w:val="24"/>
          <w:lang w:val="es-CL"/>
        </w:rPr>
        <w:t xml:space="preserve"> las personas con discapacidad </w:t>
      </w:r>
      <w:r>
        <w:rPr>
          <w:rFonts w:ascii="Verdana" w:hAnsi="Verdana"/>
          <w:sz w:val="24"/>
          <w:szCs w:val="24"/>
          <w:lang w:val="es-CL"/>
        </w:rPr>
        <w:t xml:space="preserve">son </w:t>
      </w:r>
      <w:r w:rsidR="00744759">
        <w:rPr>
          <w:rFonts w:ascii="Verdana" w:hAnsi="Verdana"/>
          <w:sz w:val="24"/>
          <w:szCs w:val="24"/>
          <w:lang w:val="es-CL"/>
        </w:rPr>
        <w:t xml:space="preserve">sujetos plenos de derechos y con capacidad de ejercicio de los mismos. </w:t>
      </w:r>
      <w:r w:rsidR="002965F3">
        <w:rPr>
          <w:rFonts w:ascii="Verdana" w:hAnsi="Verdana"/>
          <w:sz w:val="24"/>
          <w:szCs w:val="24"/>
          <w:lang w:val="es-CL"/>
        </w:rPr>
        <w:t>De esta manera, s</w:t>
      </w:r>
      <w:r w:rsidR="00744759">
        <w:rPr>
          <w:rFonts w:ascii="Verdana" w:hAnsi="Verdana"/>
          <w:sz w:val="24"/>
          <w:szCs w:val="24"/>
          <w:lang w:val="es-CL"/>
        </w:rPr>
        <w:t xml:space="preserve">e cambia el foco de la discapacidad, </w:t>
      </w:r>
      <w:r w:rsidR="00E90C45">
        <w:rPr>
          <w:rFonts w:ascii="Verdana" w:hAnsi="Verdana"/>
          <w:sz w:val="24"/>
          <w:szCs w:val="24"/>
          <w:lang w:val="es-CL"/>
        </w:rPr>
        <w:t>de</w:t>
      </w:r>
      <w:r w:rsidR="00744759">
        <w:rPr>
          <w:rFonts w:ascii="Verdana" w:hAnsi="Verdana"/>
          <w:sz w:val="24"/>
          <w:szCs w:val="24"/>
          <w:lang w:val="es-CL"/>
        </w:rPr>
        <w:t xml:space="preserve"> estar centrado </w:t>
      </w:r>
      <w:r w:rsidR="00775840">
        <w:rPr>
          <w:rFonts w:ascii="Verdana" w:hAnsi="Verdana"/>
          <w:sz w:val="24"/>
          <w:szCs w:val="24"/>
          <w:lang w:val="es-CL"/>
        </w:rPr>
        <w:t xml:space="preserve">netamente </w:t>
      </w:r>
      <w:r w:rsidR="00744759">
        <w:rPr>
          <w:rFonts w:ascii="Verdana" w:hAnsi="Verdana"/>
          <w:sz w:val="24"/>
          <w:szCs w:val="24"/>
          <w:lang w:val="es-CL"/>
        </w:rPr>
        <w:t>en la persona</w:t>
      </w:r>
      <w:r w:rsidR="00775840">
        <w:rPr>
          <w:rFonts w:ascii="Verdana" w:hAnsi="Verdana"/>
          <w:sz w:val="24"/>
          <w:szCs w:val="24"/>
          <w:lang w:val="es-CL"/>
        </w:rPr>
        <w:t xml:space="preserve"> y en su deficiencia</w:t>
      </w:r>
      <w:r w:rsidR="00744759">
        <w:rPr>
          <w:rFonts w:ascii="Verdana" w:hAnsi="Verdana"/>
          <w:sz w:val="24"/>
          <w:szCs w:val="24"/>
          <w:lang w:val="es-CL"/>
        </w:rPr>
        <w:t>, a estar enfocado en la sociedad, considerando que se trata de un constructo social, en donde injieren directamente las barreras del entorno en la existencia e intensidad de la discapacidad. Se concibe a la discapacidad como el resultado de la interacción de las deficiencias de diversos tipos, con las barreras del entorno, que impiden la participación efectiva en la sociedad, provocando con ello, la discapacidad.</w:t>
      </w:r>
    </w:p>
    <w:p w:rsidR="00744759" w:rsidRDefault="00744759" w:rsidP="00744759">
      <w:pPr>
        <w:jc w:val="both"/>
        <w:rPr>
          <w:rFonts w:ascii="Verdana" w:hAnsi="Verdana"/>
          <w:sz w:val="24"/>
          <w:szCs w:val="24"/>
          <w:lang w:val="es-CL"/>
        </w:rPr>
      </w:pPr>
      <w:r>
        <w:rPr>
          <w:rFonts w:ascii="Verdana" w:hAnsi="Verdana"/>
          <w:sz w:val="24"/>
          <w:szCs w:val="24"/>
          <w:lang w:val="es-CL"/>
        </w:rPr>
        <w:t xml:space="preserve">Este </w:t>
      </w:r>
      <w:r w:rsidR="00DA0A39">
        <w:rPr>
          <w:rFonts w:ascii="Verdana" w:hAnsi="Verdana"/>
          <w:sz w:val="24"/>
          <w:szCs w:val="24"/>
          <w:lang w:val="es-CL"/>
        </w:rPr>
        <w:t xml:space="preserve">instrumento internacional </w:t>
      </w:r>
      <w:r>
        <w:rPr>
          <w:rFonts w:ascii="Verdana" w:hAnsi="Verdana"/>
          <w:sz w:val="24"/>
          <w:szCs w:val="24"/>
          <w:lang w:val="es-CL"/>
        </w:rPr>
        <w:t xml:space="preserve">ratificado por Chile en el año 2008, </w:t>
      </w:r>
      <w:r w:rsidR="00DA0A39">
        <w:rPr>
          <w:rFonts w:ascii="Verdana" w:hAnsi="Verdana"/>
          <w:sz w:val="24"/>
          <w:szCs w:val="24"/>
          <w:lang w:val="es-CL"/>
        </w:rPr>
        <w:t xml:space="preserve">establece </w:t>
      </w:r>
      <w:r>
        <w:rPr>
          <w:rFonts w:ascii="Verdana" w:hAnsi="Verdana"/>
          <w:sz w:val="24"/>
          <w:szCs w:val="24"/>
          <w:lang w:val="es-CL"/>
        </w:rPr>
        <w:t xml:space="preserve">derechos de las personas con discapacidad e insta a los Estados Partes a la generación de acciones tendientes a la inclusión efectiva </w:t>
      </w:r>
      <w:r w:rsidR="002965F3">
        <w:rPr>
          <w:rFonts w:ascii="Verdana" w:hAnsi="Verdana"/>
          <w:sz w:val="24"/>
          <w:szCs w:val="24"/>
          <w:lang w:val="es-CL"/>
        </w:rPr>
        <w:t xml:space="preserve">de éstas </w:t>
      </w:r>
      <w:r>
        <w:rPr>
          <w:rFonts w:ascii="Verdana" w:hAnsi="Verdana"/>
          <w:sz w:val="24"/>
          <w:szCs w:val="24"/>
          <w:lang w:val="es-CL"/>
        </w:rPr>
        <w:t xml:space="preserve">en la sociedad, </w:t>
      </w:r>
      <w:r w:rsidR="002965F3">
        <w:rPr>
          <w:rFonts w:ascii="Verdana" w:hAnsi="Verdana"/>
          <w:sz w:val="24"/>
          <w:szCs w:val="24"/>
          <w:lang w:val="es-CL"/>
        </w:rPr>
        <w:t>abarcando</w:t>
      </w:r>
      <w:r>
        <w:rPr>
          <w:rFonts w:ascii="Verdana" w:hAnsi="Verdana"/>
          <w:sz w:val="24"/>
          <w:szCs w:val="24"/>
          <w:lang w:val="es-CL"/>
        </w:rPr>
        <w:t xml:space="preserve"> los ámbitos de salud, de educación, </w:t>
      </w:r>
      <w:r w:rsidR="008F658D">
        <w:rPr>
          <w:rFonts w:ascii="Verdana" w:hAnsi="Verdana"/>
          <w:sz w:val="24"/>
          <w:szCs w:val="24"/>
          <w:lang w:val="es-CL"/>
        </w:rPr>
        <w:lastRenderedPageBreak/>
        <w:t>inclusión laboral</w:t>
      </w:r>
      <w:r>
        <w:rPr>
          <w:rFonts w:ascii="Verdana" w:hAnsi="Verdana"/>
          <w:sz w:val="24"/>
          <w:szCs w:val="24"/>
          <w:lang w:val="es-CL"/>
        </w:rPr>
        <w:t>, de respeto y dignidad</w:t>
      </w:r>
      <w:r w:rsidR="008F658D">
        <w:rPr>
          <w:rFonts w:ascii="Verdana" w:hAnsi="Verdana"/>
          <w:sz w:val="24"/>
          <w:szCs w:val="24"/>
          <w:lang w:val="es-CL"/>
        </w:rPr>
        <w:t xml:space="preserve"> de la persona y sus diferencias</w:t>
      </w:r>
      <w:r>
        <w:rPr>
          <w:rFonts w:ascii="Verdana" w:hAnsi="Verdana"/>
          <w:sz w:val="24"/>
          <w:szCs w:val="24"/>
          <w:lang w:val="es-CL"/>
        </w:rPr>
        <w:t>, su capacidad jurídica, el derecho a formar familia, entre otros.</w:t>
      </w:r>
    </w:p>
    <w:p w:rsidR="00775840" w:rsidRDefault="00E90C45" w:rsidP="00201C6A">
      <w:pPr>
        <w:jc w:val="both"/>
        <w:rPr>
          <w:rFonts w:ascii="Verdana" w:hAnsi="Verdana"/>
          <w:sz w:val="24"/>
          <w:szCs w:val="24"/>
          <w:lang w:val="es-CL"/>
        </w:rPr>
      </w:pPr>
      <w:r>
        <w:rPr>
          <w:rFonts w:ascii="Verdana" w:hAnsi="Verdana"/>
          <w:sz w:val="24"/>
          <w:szCs w:val="24"/>
          <w:lang w:val="es-CL"/>
        </w:rPr>
        <w:t>En cuanto</w:t>
      </w:r>
      <w:r w:rsidR="00744759">
        <w:rPr>
          <w:rFonts w:ascii="Verdana" w:hAnsi="Verdana"/>
          <w:sz w:val="24"/>
          <w:szCs w:val="24"/>
          <w:lang w:val="es-CL"/>
        </w:rPr>
        <w:t xml:space="preserve"> a </w:t>
      </w:r>
      <w:r w:rsidR="00201C6A" w:rsidRPr="00201C6A">
        <w:rPr>
          <w:rFonts w:ascii="Verdana" w:hAnsi="Verdana"/>
          <w:sz w:val="24"/>
          <w:szCs w:val="24"/>
          <w:lang w:val="es-CL"/>
        </w:rPr>
        <w:t>derechos sexuales y reproductivos de las personas con discapacidad</w:t>
      </w:r>
      <w:r w:rsidR="002965F3">
        <w:rPr>
          <w:rFonts w:ascii="Verdana" w:hAnsi="Verdana"/>
          <w:sz w:val="24"/>
          <w:szCs w:val="24"/>
          <w:lang w:val="es-CL"/>
        </w:rPr>
        <w:t>, puede sostenerse que éstos</w:t>
      </w:r>
      <w:r w:rsidR="00201C6A" w:rsidRPr="00201C6A">
        <w:rPr>
          <w:rFonts w:ascii="Verdana" w:hAnsi="Verdana"/>
          <w:sz w:val="24"/>
          <w:szCs w:val="24"/>
          <w:lang w:val="es-CL"/>
        </w:rPr>
        <w:t xml:space="preserve"> se han</w:t>
      </w:r>
      <w:r w:rsidR="00DA0A39">
        <w:rPr>
          <w:rFonts w:ascii="Verdana" w:hAnsi="Verdana"/>
          <w:sz w:val="24"/>
          <w:szCs w:val="24"/>
          <w:lang w:val="es-CL"/>
        </w:rPr>
        <w:t xml:space="preserve"> visto históricamente limitados,</w:t>
      </w:r>
      <w:r w:rsidR="00201C6A" w:rsidRPr="00201C6A">
        <w:rPr>
          <w:rFonts w:ascii="Verdana" w:hAnsi="Verdana"/>
          <w:sz w:val="24"/>
          <w:szCs w:val="24"/>
          <w:lang w:val="es-CL"/>
        </w:rPr>
        <w:t xml:space="preserve"> </w:t>
      </w:r>
      <w:r w:rsidR="00DA0A39">
        <w:rPr>
          <w:rFonts w:ascii="Verdana" w:hAnsi="Verdana"/>
          <w:sz w:val="24"/>
          <w:szCs w:val="24"/>
          <w:lang w:val="es-CL"/>
        </w:rPr>
        <w:t>e</w:t>
      </w:r>
      <w:r w:rsidR="00201C6A" w:rsidRPr="00201C6A">
        <w:rPr>
          <w:rFonts w:ascii="Verdana" w:hAnsi="Verdana"/>
          <w:sz w:val="24"/>
          <w:szCs w:val="24"/>
          <w:lang w:val="es-CL"/>
        </w:rPr>
        <w:t>s por ello que resulta necesario destacar que estos derechos se encuentran recogidos dentro de toda la gama de derechos humanos de las personas con discapacidad,</w:t>
      </w:r>
      <w:r w:rsidR="002965F3">
        <w:rPr>
          <w:rFonts w:ascii="Verdana" w:hAnsi="Verdana"/>
          <w:sz w:val="24"/>
          <w:szCs w:val="24"/>
          <w:lang w:val="es-CL"/>
        </w:rPr>
        <w:t xml:space="preserve"> y</w:t>
      </w:r>
      <w:r w:rsidR="00201C6A" w:rsidRPr="00201C6A">
        <w:rPr>
          <w:rFonts w:ascii="Verdana" w:hAnsi="Verdana"/>
          <w:sz w:val="24"/>
          <w:szCs w:val="24"/>
          <w:lang w:val="es-CL"/>
        </w:rPr>
        <w:t xml:space="preserve"> por tanto</w:t>
      </w:r>
      <w:r w:rsidR="002965F3">
        <w:rPr>
          <w:rFonts w:ascii="Verdana" w:hAnsi="Verdana"/>
          <w:sz w:val="24"/>
          <w:szCs w:val="24"/>
          <w:lang w:val="es-CL"/>
        </w:rPr>
        <w:t xml:space="preserve">, </w:t>
      </w:r>
      <w:r w:rsidR="00201C6A" w:rsidRPr="00201C6A">
        <w:rPr>
          <w:rFonts w:ascii="Verdana" w:hAnsi="Verdana"/>
          <w:sz w:val="24"/>
          <w:szCs w:val="24"/>
          <w:lang w:val="es-CL"/>
        </w:rPr>
        <w:t xml:space="preserve">merecen el mismo reguardo, protección y </w:t>
      </w:r>
      <w:r w:rsidR="002965F3">
        <w:rPr>
          <w:rFonts w:ascii="Verdana" w:hAnsi="Verdana"/>
          <w:sz w:val="24"/>
          <w:szCs w:val="24"/>
          <w:lang w:val="es-CL"/>
        </w:rPr>
        <w:t>promoción</w:t>
      </w:r>
      <w:r w:rsidR="00201C6A" w:rsidRPr="00201C6A">
        <w:rPr>
          <w:rFonts w:ascii="Verdana" w:hAnsi="Verdana"/>
          <w:sz w:val="24"/>
          <w:szCs w:val="24"/>
          <w:lang w:val="es-CL"/>
        </w:rPr>
        <w:t xml:space="preserve"> que cualquier otro derecho.</w:t>
      </w:r>
    </w:p>
    <w:p w:rsidR="00744759" w:rsidRPr="00193569" w:rsidRDefault="00201C6A" w:rsidP="00744759">
      <w:pPr>
        <w:jc w:val="both"/>
        <w:rPr>
          <w:rFonts w:ascii="Verdana" w:hAnsi="Verdana"/>
          <w:b/>
          <w:sz w:val="24"/>
          <w:szCs w:val="24"/>
          <w:lang w:val="es-CL"/>
        </w:rPr>
      </w:pPr>
      <w:r>
        <w:rPr>
          <w:rFonts w:ascii="Verdana" w:hAnsi="Verdana"/>
          <w:b/>
          <w:sz w:val="24"/>
          <w:szCs w:val="24"/>
          <w:lang w:val="es-CL"/>
        </w:rPr>
        <w:t>Sistema Universal de Derechos Humanos</w:t>
      </w:r>
    </w:p>
    <w:p w:rsidR="00C60FD0" w:rsidRDefault="00C60FD0" w:rsidP="00C60FD0">
      <w:pPr>
        <w:pStyle w:val="Normal1"/>
        <w:widowControl w:val="0"/>
        <w:pBdr>
          <w:top w:val="nil"/>
          <w:left w:val="nil"/>
          <w:bottom w:val="nil"/>
          <w:right w:val="nil"/>
          <w:between w:val="nil"/>
        </w:pBdr>
        <w:spacing w:after="0" w:line="276"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La Convención sobre los Derechos de las Personas con Discapacidad</w:t>
      </w:r>
      <w:r w:rsidR="002965F3">
        <w:rPr>
          <w:rFonts w:ascii="Verdana" w:eastAsia="Verdana" w:hAnsi="Verdana" w:cs="Verdana"/>
          <w:color w:val="000000"/>
          <w:sz w:val="24"/>
          <w:szCs w:val="24"/>
        </w:rPr>
        <w:t>,</w:t>
      </w:r>
      <w:r>
        <w:rPr>
          <w:rFonts w:ascii="Verdana" w:eastAsia="Verdana" w:hAnsi="Verdana" w:cs="Verdana"/>
          <w:color w:val="000000"/>
          <w:sz w:val="24"/>
          <w:szCs w:val="24"/>
        </w:rPr>
        <w:t xml:space="preserve"> en su artículo 23, sobre el respeto del hogar y de la familia, establece expresamente los derechos sexuales y reproductivos de las personas con discapacidad en el sentido de decidir libre y responsablemente el número de hijos que quiera</w:t>
      </w:r>
      <w:r w:rsidR="002965F3">
        <w:rPr>
          <w:rFonts w:ascii="Verdana" w:eastAsia="Verdana" w:hAnsi="Verdana" w:cs="Verdana"/>
          <w:color w:val="000000"/>
          <w:sz w:val="24"/>
          <w:szCs w:val="24"/>
        </w:rPr>
        <w:t>n</w:t>
      </w:r>
      <w:r>
        <w:rPr>
          <w:rFonts w:ascii="Verdana" w:eastAsia="Verdana" w:hAnsi="Verdana" w:cs="Verdana"/>
          <w:color w:val="000000"/>
          <w:sz w:val="24"/>
          <w:szCs w:val="24"/>
        </w:rPr>
        <w:t xml:space="preserve"> tener y el derecho a mantener la fertilidad en igualdad de condiciones con las demás</w:t>
      </w:r>
      <w:r w:rsidR="002965F3">
        <w:rPr>
          <w:rFonts w:ascii="Verdana" w:eastAsia="Verdana" w:hAnsi="Verdana" w:cs="Verdana"/>
          <w:color w:val="000000"/>
          <w:sz w:val="24"/>
          <w:szCs w:val="24"/>
        </w:rPr>
        <w:t xml:space="preserve"> personas</w:t>
      </w:r>
      <w:r>
        <w:rPr>
          <w:rFonts w:ascii="Verdana" w:eastAsia="Verdana" w:hAnsi="Verdana" w:cs="Verdana"/>
          <w:color w:val="000000"/>
          <w:sz w:val="24"/>
          <w:szCs w:val="24"/>
        </w:rPr>
        <w:t>.</w:t>
      </w:r>
    </w:p>
    <w:p w:rsidR="00C60FD0" w:rsidRDefault="00C60FD0" w:rsidP="00C60FD0">
      <w:pPr>
        <w:pStyle w:val="Normal1"/>
        <w:widowControl w:val="0"/>
        <w:pBdr>
          <w:top w:val="nil"/>
          <w:left w:val="nil"/>
          <w:bottom w:val="nil"/>
          <w:right w:val="nil"/>
          <w:between w:val="nil"/>
        </w:pBdr>
        <w:spacing w:after="0" w:line="276"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El ejercicio del derecho de las mujeres con discapacidad a </w:t>
      </w:r>
      <w:r>
        <w:rPr>
          <w:rFonts w:ascii="Verdana" w:eastAsia="Verdana" w:hAnsi="Verdana" w:cs="Verdana"/>
          <w:color w:val="000000"/>
          <w:sz w:val="24"/>
          <w:szCs w:val="24"/>
        </w:rPr>
        <w:lastRenderedPageBreak/>
        <w:t>la protección contra la explotación, la violencia y el abuso</w:t>
      </w:r>
      <w:r w:rsidR="002965F3">
        <w:rPr>
          <w:rFonts w:ascii="Verdana" w:eastAsia="Verdana" w:hAnsi="Verdana" w:cs="Verdana"/>
          <w:color w:val="000000"/>
          <w:sz w:val="24"/>
          <w:szCs w:val="24"/>
        </w:rPr>
        <w:t>,</w:t>
      </w:r>
      <w:r>
        <w:rPr>
          <w:rFonts w:ascii="Verdana" w:eastAsia="Verdana" w:hAnsi="Verdana" w:cs="Verdana"/>
          <w:color w:val="000000"/>
          <w:sz w:val="24"/>
          <w:szCs w:val="24"/>
        </w:rPr>
        <w:t xml:space="preserve"> puede verse obstaculizado por los estereotipos nocivos que aumentan el riesgo de sufrir violencia. </w:t>
      </w:r>
      <w:r w:rsidR="002965F3">
        <w:rPr>
          <w:rFonts w:ascii="Verdana" w:eastAsia="Verdana" w:hAnsi="Verdana" w:cs="Verdana"/>
          <w:color w:val="000000"/>
          <w:sz w:val="24"/>
          <w:szCs w:val="24"/>
        </w:rPr>
        <w:t>Estos</w:t>
      </w:r>
      <w:r>
        <w:rPr>
          <w:rFonts w:ascii="Verdana" w:eastAsia="Verdana" w:hAnsi="Verdana" w:cs="Verdana"/>
          <w:color w:val="000000"/>
          <w:sz w:val="24"/>
          <w:szCs w:val="24"/>
        </w:rPr>
        <w:t xml:space="preserve"> estereotipos</w:t>
      </w:r>
      <w:r w:rsidR="002965F3">
        <w:rPr>
          <w:rFonts w:ascii="Verdana" w:eastAsia="Verdana" w:hAnsi="Verdana" w:cs="Verdana"/>
          <w:color w:val="000000"/>
          <w:sz w:val="24"/>
          <w:szCs w:val="24"/>
        </w:rPr>
        <w:t>,</w:t>
      </w:r>
      <w:r>
        <w:rPr>
          <w:rFonts w:ascii="Verdana" w:eastAsia="Verdana" w:hAnsi="Verdana" w:cs="Verdana"/>
          <w:color w:val="000000"/>
          <w:sz w:val="24"/>
          <w:szCs w:val="24"/>
        </w:rPr>
        <w:t xml:space="preserve"> que infantilizan a las mujeres con discapacidad y ponen en tela de juicio su capacidad para toma</w:t>
      </w:r>
      <w:r w:rsidR="002965F3">
        <w:rPr>
          <w:rFonts w:ascii="Verdana" w:eastAsia="Verdana" w:hAnsi="Verdana" w:cs="Verdana"/>
          <w:color w:val="000000"/>
          <w:sz w:val="24"/>
          <w:szCs w:val="24"/>
        </w:rPr>
        <w:t>r</w:t>
      </w:r>
      <w:r>
        <w:rPr>
          <w:rFonts w:ascii="Verdana" w:eastAsia="Verdana" w:hAnsi="Verdana" w:cs="Verdana"/>
          <w:color w:val="000000"/>
          <w:sz w:val="24"/>
          <w:szCs w:val="24"/>
        </w:rPr>
        <w:t xml:space="preserve"> decisiones, </w:t>
      </w:r>
      <w:r w:rsidR="002965F3">
        <w:rPr>
          <w:rFonts w:ascii="Verdana" w:eastAsia="Verdana" w:hAnsi="Verdana" w:cs="Verdana"/>
          <w:color w:val="000000"/>
          <w:sz w:val="24"/>
          <w:szCs w:val="24"/>
        </w:rPr>
        <w:t xml:space="preserve">así como </w:t>
      </w:r>
      <w:r>
        <w:rPr>
          <w:rFonts w:ascii="Verdana" w:eastAsia="Verdana" w:hAnsi="Verdana" w:cs="Verdana"/>
          <w:color w:val="000000"/>
          <w:sz w:val="24"/>
          <w:szCs w:val="24"/>
        </w:rPr>
        <w:t xml:space="preserve">la percepción de que las mujeres con discapacidad son asexuadas, incapaces, irracionales, carecen de control y/o son sexualmente hiperactivas, impiden </w:t>
      </w:r>
      <w:r w:rsidR="002965F3">
        <w:rPr>
          <w:rFonts w:ascii="Verdana" w:eastAsia="Verdana" w:hAnsi="Verdana" w:cs="Verdana"/>
          <w:color w:val="000000"/>
          <w:sz w:val="24"/>
          <w:szCs w:val="24"/>
        </w:rPr>
        <w:t xml:space="preserve">a éstas </w:t>
      </w:r>
      <w:r>
        <w:rPr>
          <w:rFonts w:ascii="Verdana" w:eastAsia="Verdana" w:hAnsi="Verdana" w:cs="Verdana"/>
          <w:color w:val="000000"/>
          <w:sz w:val="24"/>
          <w:szCs w:val="24"/>
        </w:rPr>
        <w:t>el ejercicio de sus derechos enunciados en el artículo 16</w:t>
      </w:r>
      <w:r>
        <w:rPr>
          <w:rStyle w:val="Refdenotaalpie"/>
          <w:rFonts w:ascii="Verdana" w:eastAsia="Verdana" w:hAnsi="Verdana" w:cs="Verdana"/>
          <w:color w:val="000000"/>
          <w:sz w:val="24"/>
          <w:szCs w:val="24"/>
        </w:rPr>
        <w:footnoteReference w:id="1"/>
      </w:r>
      <w:r w:rsidR="0093239F">
        <w:rPr>
          <w:rFonts w:ascii="Verdana" w:eastAsia="Verdana" w:hAnsi="Verdana" w:cs="Verdana"/>
          <w:color w:val="000000"/>
          <w:sz w:val="24"/>
          <w:szCs w:val="24"/>
        </w:rPr>
        <w:t xml:space="preserve"> sobre protección contra la explotación, la violencia y el abuso.</w:t>
      </w:r>
      <w:r>
        <w:rPr>
          <w:rFonts w:ascii="Verdana" w:eastAsia="Verdana" w:hAnsi="Verdana" w:cs="Verdana"/>
          <w:color w:val="000000"/>
          <w:sz w:val="24"/>
          <w:szCs w:val="24"/>
        </w:rPr>
        <w:t xml:space="preserve"> Asimismo, las mujeres con discapacidad se enfrentan </w:t>
      </w:r>
      <w:r w:rsidR="0093239F">
        <w:rPr>
          <w:rFonts w:ascii="Verdana" w:eastAsia="Verdana" w:hAnsi="Verdana" w:cs="Verdana"/>
          <w:color w:val="000000"/>
          <w:sz w:val="24"/>
          <w:szCs w:val="24"/>
        </w:rPr>
        <w:t xml:space="preserve">a </w:t>
      </w:r>
      <w:r>
        <w:rPr>
          <w:rFonts w:ascii="Verdana" w:eastAsia="Verdana" w:hAnsi="Verdana" w:cs="Verdana"/>
          <w:color w:val="000000"/>
          <w:sz w:val="24"/>
          <w:szCs w:val="24"/>
        </w:rPr>
        <w:t>estereotipos que suponen que dan a luz a niños con discapacidad</w:t>
      </w:r>
      <w:r w:rsidR="005C2A0F">
        <w:rPr>
          <w:rFonts w:ascii="Verdana" w:eastAsia="Verdana" w:hAnsi="Verdana" w:cs="Verdana"/>
          <w:color w:val="000000"/>
          <w:sz w:val="24"/>
          <w:szCs w:val="24"/>
        </w:rPr>
        <w:t>,</w:t>
      </w:r>
      <w:r>
        <w:rPr>
          <w:rFonts w:ascii="Verdana" w:eastAsia="Verdana" w:hAnsi="Verdana" w:cs="Verdana"/>
          <w:color w:val="000000"/>
          <w:sz w:val="24"/>
          <w:szCs w:val="24"/>
        </w:rPr>
        <w:t xml:space="preserve"> lo que produce que se desaliente o se impida a las mujeres con discapacidad ejer</w:t>
      </w:r>
      <w:r w:rsidR="005C2A0F">
        <w:rPr>
          <w:rFonts w:ascii="Verdana" w:eastAsia="Verdana" w:hAnsi="Verdana" w:cs="Verdana"/>
          <w:color w:val="000000"/>
          <w:sz w:val="24"/>
          <w:szCs w:val="24"/>
        </w:rPr>
        <w:t>cer</w:t>
      </w:r>
      <w:r>
        <w:rPr>
          <w:rFonts w:ascii="Verdana" w:eastAsia="Verdana" w:hAnsi="Verdana" w:cs="Verdana"/>
          <w:color w:val="000000"/>
          <w:sz w:val="24"/>
          <w:szCs w:val="24"/>
        </w:rPr>
        <w:t xml:space="preserve"> su derecho a ser madres</w:t>
      </w:r>
      <w:r>
        <w:rPr>
          <w:rStyle w:val="Refdenotaalpie"/>
          <w:rFonts w:ascii="Verdana" w:eastAsia="Verdana" w:hAnsi="Verdana" w:cs="Verdana"/>
          <w:color w:val="000000"/>
          <w:sz w:val="24"/>
          <w:szCs w:val="24"/>
        </w:rPr>
        <w:footnoteReference w:id="2"/>
      </w:r>
      <w:r w:rsidR="005C2A0F">
        <w:rPr>
          <w:rFonts w:ascii="Verdana" w:eastAsia="Verdana" w:hAnsi="Verdana" w:cs="Verdana"/>
          <w:color w:val="000000"/>
          <w:sz w:val="24"/>
          <w:szCs w:val="24"/>
        </w:rPr>
        <w:t>.</w:t>
      </w:r>
    </w:p>
    <w:p w:rsidR="00C60FD0" w:rsidRDefault="005C2A0F" w:rsidP="00C60FD0">
      <w:pPr>
        <w:pStyle w:val="Normal1"/>
        <w:widowControl w:val="0"/>
        <w:pBdr>
          <w:top w:val="nil"/>
          <w:left w:val="nil"/>
          <w:bottom w:val="nil"/>
          <w:right w:val="nil"/>
          <w:between w:val="nil"/>
        </w:pBdr>
        <w:spacing w:after="0" w:line="276" w:lineRule="auto"/>
        <w:ind w:firstLine="567"/>
        <w:jc w:val="both"/>
        <w:rPr>
          <w:rFonts w:ascii="Verdana" w:eastAsia="Verdana" w:hAnsi="Verdana" w:cs="Verdana"/>
          <w:i/>
          <w:color w:val="000000"/>
          <w:sz w:val="24"/>
          <w:szCs w:val="24"/>
        </w:rPr>
      </w:pPr>
      <w:r>
        <w:rPr>
          <w:rFonts w:ascii="Verdana" w:eastAsia="Verdana" w:hAnsi="Verdana" w:cs="Verdana"/>
          <w:color w:val="000000"/>
          <w:sz w:val="24"/>
          <w:szCs w:val="24"/>
        </w:rPr>
        <w:t>De esta forma, l</w:t>
      </w:r>
      <w:r w:rsidR="00C60FD0">
        <w:rPr>
          <w:rFonts w:ascii="Verdana" w:eastAsia="Verdana" w:hAnsi="Verdana" w:cs="Verdana"/>
          <w:color w:val="000000"/>
          <w:sz w:val="24"/>
          <w:szCs w:val="24"/>
        </w:rPr>
        <w:t xml:space="preserve">o esencial </w:t>
      </w:r>
      <w:r w:rsidR="00C60FD0">
        <w:rPr>
          <w:rFonts w:ascii="Verdana" w:eastAsia="Verdana" w:hAnsi="Verdana" w:cs="Verdana"/>
          <w:color w:val="000000"/>
          <w:sz w:val="24"/>
          <w:szCs w:val="24"/>
        </w:rPr>
        <w:lastRenderedPageBreak/>
        <w:t>es que las personas con discapacidad puedan decidir sobre sus derechos sexuales y reproductivos, especialmente las mujeres con discapacidad, incluido</w:t>
      </w:r>
      <w:r>
        <w:rPr>
          <w:rFonts w:ascii="Verdana" w:eastAsia="Verdana" w:hAnsi="Verdana" w:cs="Verdana"/>
          <w:color w:val="000000"/>
          <w:sz w:val="24"/>
          <w:szCs w:val="24"/>
        </w:rPr>
        <w:t>s</w:t>
      </w:r>
      <w:r w:rsidR="00C60FD0">
        <w:rPr>
          <w:rFonts w:ascii="Verdana" w:eastAsia="Verdana" w:hAnsi="Verdana" w:cs="Verdana"/>
          <w:color w:val="000000"/>
          <w:sz w:val="24"/>
          <w:szCs w:val="24"/>
        </w:rPr>
        <w:t xml:space="preserve"> los niños, niñas y adolescentes. Es necesario que se prohíba cualquier tipo de esterilización en niños, niñas y adolescentes</w:t>
      </w:r>
      <w:r w:rsidR="00C60FD0">
        <w:rPr>
          <w:rStyle w:val="Refdenotaalpie"/>
          <w:rFonts w:ascii="Verdana" w:eastAsia="Verdana" w:hAnsi="Verdana" w:cs="Verdana"/>
          <w:color w:val="000000"/>
          <w:sz w:val="24"/>
          <w:szCs w:val="24"/>
        </w:rPr>
        <w:footnoteReference w:id="3"/>
      </w:r>
      <w:r>
        <w:rPr>
          <w:rFonts w:ascii="Verdana" w:eastAsia="Verdana" w:hAnsi="Verdana" w:cs="Verdana"/>
          <w:color w:val="000000"/>
          <w:sz w:val="24"/>
          <w:szCs w:val="24"/>
        </w:rPr>
        <w:t>,</w:t>
      </w:r>
      <w:r w:rsidR="00C60FD0">
        <w:rPr>
          <w:rFonts w:ascii="Verdana" w:eastAsia="Verdana" w:hAnsi="Verdana" w:cs="Verdana"/>
          <w:color w:val="000000"/>
          <w:sz w:val="24"/>
          <w:szCs w:val="24"/>
        </w:rPr>
        <w:t xml:space="preserve"> como también cualquier esterilización sin el debido consentimiento de las personas que </w:t>
      </w:r>
      <w:r>
        <w:rPr>
          <w:rFonts w:ascii="Verdana" w:eastAsia="Verdana" w:hAnsi="Verdana" w:cs="Verdana"/>
          <w:color w:val="000000"/>
          <w:sz w:val="24"/>
          <w:szCs w:val="24"/>
        </w:rPr>
        <w:t>son</w:t>
      </w:r>
      <w:r w:rsidR="00C60FD0">
        <w:rPr>
          <w:rFonts w:ascii="Verdana" w:eastAsia="Verdana" w:hAnsi="Verdana" w:cs="Verdana"/>
          <w:color w:val="000000"/>
          <w:sz w:val="24"/>
          <w:szCs w:val="24"/>
        </w:rPr>
        <w:t xml:space="preserve"> objeto de </w:t>
      </w:r>
      <w:r>
        <w:rPr>
          <w:rFonts w:ascii="Verdana" w:eastAsia="Verdana" w:hAnsi="Verdana" w:cs="Verdana"/>
          <w:color w:val="000000"/>
          <w:sz w:val="24"/>
          <w:szCs w:val="24"/>
        </w:rPr>
        <w:t>esta</w:t>
      </w:r>
      <w:r w:rsidR="00C60FD0">
        <w:rPr>
          <w:rFonts w:ascii="Verdana" w:eastAsia="Verdana" w:hAnsi="Verdana" w:cs="Verdana"/>
          <w:color w:val="000000"/>
          <w:sz w:val="24"/>
          <w:szCs w:val="24"/>
        </w:rPr>
        <w:t xml:space="preserve"> intervención</w:t>
      </w:r>
      <w:r w:rsidR="00C60FD0">
        <w:rPr>
          <w:rStyle w:val="Refdenotaalpie"/>
          <w:rFonts w:ascii="Verdana" w:eastAsia="Verdana" w:hAnsi="Verdana" w:cs="Verdana"/>
          <w:color w:val="000000"/>
          <w:sz w:val="24"/>
          <w:szCs w:val="24"/>
        </w:rPr>
        <w:footnoteReference w:id="4"/>
      </w:r>
      <w:r>
        <w:rPr>
          <w:rFonts w:ascii="Verdana" w:eastAsia="Verdana" w:hAnsi="Verdana" w:cs="Verdana"/>
          <w:color w:val="000000"/>
          <w:sz w:val="24"/>
          <w:szCs w:val="24"/>
        </w:rPr>
        <w:t>.</w:t>
      </w:r>
      <w:r w:rsidR="00C60FD0">
        <w:rPr>
          <w:rFonts w:ascii="Verdana" w:eastAsia="Verdana" w:hAnsi="Verdana" w:cs="Verdana"/>
          <w:color w:val="000000"/>
          <w:sz w:val="24"/>
          <w:szCs w:val="24"/>
        </w:rPr>
        <w:t xml:space="preserve"> </w:t>
      </w:r>
      <w:r>
        <w:rPr>
          <w:rFonts w:ascii="Verdana" w:eastAsia="Verdana" w:hAnsi="Verdana" w:cs="Verdana"/>
          <w:color w:val="000000"/>
          <w:sz w:val="24"/>
          <w:szCs w:val="24"/>
        </w:rPr>
        <w:t xml:space="preserve">Lo anterior, por cuanto tales procedimientos pueden </w:t>
      </w:r>
      <w:r w:rsidR="00C60FD0">
        <w:rPr>
          <w:rFonts w:ascii="Verdana" w:eastAsia="Verdana" w:hAnsi="Verdana" w:cs="Verdana"/>
          <w:color w:val="000000"/>
          <w:sz w:val="24"/>
          <w:szCs w:val="24"/>
        </w:rPr>
        <w:t>ser considerado</w:t>
      </w:r>
      <w:r>
        <w:rPr>
          <w:rFonts w:ascii="Verdana" w:eastAsia="Verdana" w:hAnsi="Verdana" w:cs="Verdana"/>
          <w:color w:val="000000"/>
          <w:sz w:val="24"/>
          <w:szCs w:val="24"/>
        </w:rPr>
        <w:t>s</w:t>
      </w:r>
      <w:r w:rsidR="00C60FD0">
        <w:rPr>
          <w:rFonts w:ascii="Verdana" w:eastAsia="Verdana" w:hAnsi="Verdana" w:cs="Verdana"/>
          <w:color w:val="000000"/>
          <w:sz w:val="24"/>
          <w:szCs w:val="24"/>
        </w:rPr>
        <w:t xml:space="preserve"> como tratos o penas crueles, </w:t>
      </w:r>
      <w:proofErr w:type="gramStart"/>
      <w:r w:rsidR="00C60FD0">
        <w:rPr>
          <w:rFonts w:ascii="Verdana" w:eastAsia="Verdana" w:hAnsi="Verdana" w:cs="Verdana"/>
          <w:color w:val="000000"/>
          <w:sz w:val="24"/>
          <w:szCs w:val="24"/>
        </w:rPr>
        <w:t>inhumanos o degradantes</w:t>
      </w:r>
      <w:r w:rsidR="00C60FD0">
        <w:rPr>
          <w:rStyle w:val="Refdenotaalpie"/>
          <w:rFonts w:ascii="Verdana" w:eastAsia="Verdana" w:hAnsi="Verdana" w:cs="Verdana"/>
          <w:color w:val="000000"/>
          <w:sz w:val="24"/>
          <w:szCs w:val="24"/>
        </w:rPr>
        <w:footnoteReference w:id="5"/>
      </w:r>
      <w:proofErr w:type="gramEnd"/>
      <w:r>
        <w:rPr>
          <w:rFonts w:ascii="Verdana" w:eastAsia="Verdana" w:hAnsi="Verdana" w:cs="Verdana"/>
          <w:color w:val="000000"/>
          <w:sz w:val="24"/>
          <w:szCs w:val="24"/>
        </w:rPr>
        <w:t>,</w:t>
      </w:r>
      <w:r w:rsidR="00C60FD0">
        <w:rPr>
          <w:rFonts w:ascii="Verdana" w:eastAsia="Verdana" w:hAnsi="Verdana" w:cs="Verdana"/>
          <w:color w:val="000000"/>
          <w:sz w:val="24"/>
          <w:szCs w:val="24"/>
        </w:rPr>
        <w:t xml:space="preserve"> por tanto</w:t>
      </w:r>
      <w:r>
        <w:rPr>
          <w:rFonts w:ascii="Verdana" w:eastAsia="Verdana" w:hAnsi="Verdana" w:cs="Verdana"/>
          <w:color w:val="000000"/>
          <w:sz w:val="24"/>
          <w:szCs w:val="24"/>
        </w:rPr>
        <w:t>,</w:t>
      </w:r>
      <w:r w:rsidR="00C60FD0">
        <w:rPr>
          <w:rFonts w:ascii="Verdana" w:eastAsia="Verdana" w:hAnsi="Verdana" w:cs="Verdana"/>
          <w:color w:val="000000"/>
          <w:sz w:val="24"/>
          <w:szCs w:val="24"/>
        </w:rPr>
        <w:t xml:space="preserve"> </w:t>
      </w:r>
      <w:r>
        <w:rPr>
          <w:rFonts w:ascii="Verdana" w:eastAsia="Verdana" w:hAnsi="Verdana" w:cs="Verdana"/>
          <w:color w:val="000000"/>
          <w:sz w:val="24"/>
          <w:szCs w:val="24"/>
        </w:rPr>
        <w:t xml:space="preserve">su prohibición reviste el carácter de norma </w:t>
      </w:r>
      <w:r w:rsidR="00C60FD0">
        <w:rPr>
          <w:rFonts w:ascii="Verdana" w:eastAsia="Verdana" w:hAnsi="Verdana" w:cs="Verdana"/>
          <w:color w:val="000000"/>
          <w:sz w:val="24"/>
          <w:szCs w:val="24"/>
        </w:rPr>
        <w:t xml:space="preserve">de </w:t>
      </w:r>
      <w:proofErr w:type="spellStart"/>
      <w:r w:rsidR="008F0767">
        <w:rPr>
          <w:rFonts w:ascii="Verdana" w:eastAsia="Verdana" w:hAnsi="Verdana" w:cs="Verdana"/>
          <w:i/>
          <w:color w:val="000000"/>
          <w:sz w:val="24"/>
          <w:szCs w:val="24"/>
        </w:rPr>
        <w:t>ius</w:t>
      </w:r>
      <w:proofErr w:type="spellEnd"/>
      <w:r w:rsidR="008F0767">
        <w:rPr>
          <w:rFonts w:ascii="Verdana" w:eastAsia="Verdana" w:hAnsi="Verdana" w:cs="Verdana"/>
          <w:i/>
          <w:color w:val="000000"/>
          <w:sz w:val="24"/>
          <w:szCs w:val="24"/>
        </w:rPr>
        <w:t xml:space="preserve"> </w:t>
      </w:r>
      <w:proofErr w:type="spellStart"/>
      <w:r w:rsidR="008F0767">
        <w:rPr>
          <w:rFonts w:ascii="Verdana" w:eastAsia="Verdana" w:hAnsi="Verdana" w:cs="Verdana"/>
          <w:i/>
          <w:color w:val="000000"/>
          <w:sz w:val="24"/>
          <w:szCs w:val="24"/>
        </w:rPr>
        <w:t>cogens</w:t>
      </w:r>
      <w:proofErr w:type="spellEnd"/>
      <w:r w:rsidR="008F0767">
        <w:rPr>
          <w:rFonts w:ascii="Verdana" w:eastAsia="Verdana" w:hAnsi="Verdana" w:cs="Verdana"/>
          <w:i/>
          <w:color w:val="000000"/>
          <w:sz w:val="24"/>
          <w:szCs w:val="24"/>
        </w:rPr>
        <w:t>.</w:t>
      </w:r>
    </w:p>
    <w:p w:rsidR="00C60FD0" w:rsidRDefault="00C60FD0" w:rsidP="00C60FD0">
      <w:pPr>
        <w:pStyle w:val="Normal1"/>
        <w:widowControl w:val="0"/>
        <w:pBdr>
          <w:top w:val="nil"/>
          <w:left w:val="nil"/>
          <w:bottom w:val="nil"/>
          <w:right w:val="nil"/>
          <w:between w:val="nil"/>
        </w:pBdr>
        <w:spacing w:after="0" w:line="276" w:lineRule="auto"/>
        <w:ind w:firstLine="567"/>
        <w:jc w:val="both"/>
        <w:rPr>
          <w:rFonts w:ascii="Verdana" w:eastAsia="Verdana" w:hAnsi="Verdana" w:cs="Verdana"/>
          <w:i/>
          <w:color w:val="000000"/>
          <w:sz w:val="24"/>
          <w:szCs w:val="24"/>
        </w:rPr>
      </w:pPr>
    </w:p>
    <w:p w:rsidR="00C60FD0" w:rsidRDefault="00C60FD0" w:rsidP="00C60FD0">
      <w:pPr>
        <w:pStyle w:val="Normal1"/>
        <w:widowControl w:val="0"/>
        <w:pBdr>
          <w:top w:val="nil"/>
          <w:left w:val="nil"/>
          <w:bottom w:val="nil"/>
          <w:right w:val="nil"/>
          <w:between w:val="nil"/>
        </w:pBdr>
        <w:spacing w:after="0" w:line="276"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Respecto a la esterilización de adultos con discapacidad, si bien no se trata </w:t>
      </w:r>
      <w:r w:rsidR="005C2A0F">
        <w:rPr>
          <w:rFonts w:ascii="Verdana" w:eastAsia="Verdana" w:hAnsi="Verdana" w:cs="Verdana"/>
          <w:color w:val="000000"/>
          <w:sz w:val="24"/>
          <w:szCs w:val="24"/>
        </w:rPr>
        <w:t xml:space="preserve">de </w:t>
      </w:r>
      <w:r>
        <w:rPr>
          <w:rFonts w:ascii="Verdana" w:eastAsia="Verdana" w:hAnsi="Verdana" w:cs="Verdana"/>
          <w:color w:val="000000"/>
          <w:sz w:val="24"/>
          <w:szCs w:val="24"/>
        </w:rPr>
        <w:t xml:space="preserve">una prohibición absoluta, </w:t>
      </w:r>
      <w:r w:rsidR="005C2A0F">
        <w:rPr>
          <w:rFonts w:ascii="Verdana" w:eastAsia="Verdana" w:hAnsi="Verdana" w:cs="Verdana"/>
          <w:color w:val="000000"/>
          <w:sz w:val="24"/>
          <w:szCs w:val="24"/>
        </w:rPr>
        <w:t>é</w:t>
      </w:r>
      <w:r>
        <w:rPr>
          <w:rFonts w:ascii="Verdana" w:eastAsia="Verdana" w:hAnsi="Verdana" w:cs="Verdana"/>
          <w:color w:val="000000"/>
          <w:sz w:val="24"/>
          <w:szCs w:val="24"/>
        </w:rPr>
        <w:t xml:space="preserve">sta debe ser realizada de conformidad con el derecho internacional de </w:t>
      </w:r>
      <w:r>
        <w:rPr>
          <w:rFonts w:ascii="Verdana" w:eastAsia="Verdana" w:hAnsi="Verdana" w:cs="Verdana"/>
          <w:color w:val="000000"/>
          <w:sz w:val="24"/>
          <w:szCs w:val="24"/>
        </w:rPr>
        <w:lastRenderedPageBreak/>
        <w:t>los derechos humanos, lo que contempla un consentimiento libre e informado. El Comité sobre los Derechos de las Personas con Discapacidad ha señalado que es una obligación para los Estados respetar la capacidad jurídica de las personas con discapacidad de adoptar decisiones en todo momento, de otorgar acceso a apoyo para las decisiones relativas a tratamientos psiquiátrico</w:t>
      </w:r>
      <w:r w:rsidR="0093239F">
        <w:rPr>
          <w:rFonts w:ascii="Verdana" w:eastAsia="Verdana" w:hAnsi="Verdana" w:cs="Verdana"/>
          <w:color w:val="000000"/>
          <w:sz w:val="24"/>
          <w:szCs w:val="24"/>
        </w:rPr>
        <w:t>s</w:t>
      </w:r>
      <w:r>
        <w:rPr>
          <w:rFonts w:ascii="Verdana" w:eastAsia="Verdana" w:hAnsi="Verdana" w:cs="Verdana"/>
          <w:color w:val="000000"/>
          <w:sz w:val="24"/>
          <w:szCs w:val="24"/>
        </w:rPr>
        <w:t xml:space="preserve"> y </w:t>
      </w:r>
      <w:r w:rsidR="0093239F">
        <w:rPr>
          <w:rFonts w:ascii="Verdana" w:eastAsia="Verdana" w:hAnsi="Verdana" w:cs="Verdana"/>
          <w:color w:val="000000"/>
          <w:sz w:val="24"/>
          <w:szCs w:val="24"/>
        </w:rPr>
        <w:t>otros tratamientos médicos. El C</w:t>
      </w:r>
      <w:r>
        <w:rPr>
          <w:rFonts w:ascii="Verdana" w:eastAsia="Verdana" w:hAnsi="Verdana" w:cs="Verdana"/>
          <w:color w:val="000000"/>
          <w:sz w:val="24"/>
          <w:szCs w:val="24"/>
        </w:rPr>
        <w:t>omité recomienda que se vele porque las decisiones relativas a la integridad física y mental de una persona s</w:t>
      </w:r>
      <w:r w:rsidR="005C2A0F">
        <w:rPr>
          <w:rFonts w:ascii="Verdana" w:eastAsia="Verdana" w:hAnsi="Verdana" w:cs="Verdana"/>
          <w:color w:val="000000"/>
          <w:sz w:val="24"/>
          <w:szCs w:val="24"/>
        </w:rPr>
        <w:t>ó</w:t>
      </w:r>
      <w:r>
        <w:rPr>
          <w:rFonts w:ascii="Verdana" w:eastAsia="Verdana" w:hAnsi="Verdana" w:cs="Verdana"/>
          <w:color w:val="000000"/>
          <w:sz w:val="24"/>
          <w:szCs w:val="24"/>
        </w:rPr>
        <w:t>lo se puedan adoptar con el consentimiento libre e informado de la persona</w:t>
      </w:r>
      <w:r>
        <w:rPr>
          <w:rStyle w:val="Refdenotaalpie"/>
          <w:rFonts w:ascii="Verdana" w:eastAsia="Verdana" w:hAnsi="Verdana" w:cs="Verdana"/>
          <w:color w:val="000000"/>
          <w:sz w:val="24"/>
          <w:szCs w:val="24"/>
        </w:rPr>
        <w:footnoteReference w:id="6"/>
      </w:r>
      <w:r w:rsidR="005C2A0F">
        <w:rPr>
          <w:rFonts w:ascii="Verdana" w:eastAsia="Verdana" w:hAnsi="Verdana" w:cs="Verdana"/>
          <w:color w:val="000000"/>
          <w:sz w:val="24"/>
          <w:szCs w:val="24"/>
        </w:rPr>
        <w:t>.</w:t>
      </w:r>
    </w:p>
    <w:p w:rsidR="004E3E14" w:rsidRDefault="004E3E14"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p>
    <w:p w:rsidR="004E3E14" w:rsidRDefault="004E3E14" w:rsidP="004E3E14">
      <w:pPr>
        <w:pStyle w:val="Normal1"/>
        <w:widowControl w:val="0"/>
        <w:pBdr>
          <w:top w:val="nil"/>
          <w:left w:val="nil"/>
          <w:bottom w:val="nil"/>
          <w:right w:val="nil"/>
          <w:between w:val="nil"/>
        </w:pBdr>
        <w:spacing w:after="0" w:line="276" w:lineRule="auto"/>
        <w:jc w:val="both"/>
        <w:rPr>
          <w:rFonts w:ascii="Verdana" w:eastAsia="Verdana" w:hAnsi="Verdana" w:cs="Verdana"/>
          <w:b/>
          <w:color w:val="000000"/>
          <w:sz w:val="24"/>
          <w:szCs w:val="24"/>
        </w:rPr>
      </w:pPr>
      <w:r>
        <w:rPr>
          <w:rFonts w:ascii="Verdana" w:eastAsia="Verdana" w:hAnsi="Verdana" w:cs="Verdana"/>
          <w:b/>
          <w:color w:val="000000"/>
          <w:sz w:val="24"/>
          <w:szCs w:val="24"/>
        </w:rPr>
        <w:t>Sistema Interamericano de Derechos Humanos</w:t>
      </w:r>
    </w:p>
    <w:p w:rsidR="004E3E14" w:rsidRDefault="004E3E14" w:rsidP="004E3E14">
      <w:pPr>
        <w:pStyle w:val="Normal1"/>
        <w:widowControl w:val="0"/>
        <w:pBdr>
          <w:top w:val="nil"/>
          <w:left w:val="nil"/>
          <w:bottom w:val="nil"/>
          <w:right w:val="nil"/>
          <w:between w:val="nil"/>
        </w:pBdr>
        <w:spacing w:after="0" w:line="276" w:lineRule="auto"/>
        <w:jc w:val="both"/>
        <w:rPr>
          <w:rFonts w:ascii="Verdana" w:eastAsia="Verdana" w:hAnsi="Verdana" w:cs="Verdana"/>
          <w:b/>
          <w:color w:val="000000"/>
          <w:sz w:val="24"/>
          <w:szCs w:val="24"/>
        </w:rPr>
      </w:pPr>
    </w:p>
    <w:p w:rsidR="00E63592" w:rsidRDefault="00391B55"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En el mismo sentido, a nivel regional, pese a no existir una norma en Convenciones interamericanas respecto a la interseccionalidad de la </w:t>
      </w:r>
      <w:r w:rsidR="008F0767">
        <w:rPr>
          <w:rFonts w:ascii="Verdana" w:eastAsia="Verdana" w:hAnsi="Verdana" w:cs="Verdana"/>
          <w:color w:val="000000"/>
          <w:sz w:val="24"/>
          <w:szCs w:val="24"/>
        </w:rPr>
        <w:t>discapacidad</w:t>
      </w:r>
      <w:r>
        <w:rPr>
          <w:rFonts w:ascii="Verdana" w:eastAsia="Verdana" w:hAnsi="Verdana" w:cs="Verdana"/>
          <w:color w:val="000000"/>
          <w:sz w:val="24"/>
          <w:szCs w:val="24"/>
        </w:rPr>
        <w:t>, género y derechos sexuales y rep</w:t>
      </w:r>
      <w:r w:rsidR="002512F1">
        <w:rPr>
          <w:rFonts w:ascii="Verdana" w:eastAsia="Verdana" w:hAnsi="Verdana" w:cs="Verdana"/>
          <w:color w:val="000000"/>
          <w:sz w:val="24"/>
          <w:szCs w:val="24"/>
        </w:rPr>
        <w:t>ro</w:t>
      </w:r>
      <w:r>
        <w:rPr>
          <w:rFonts w:ascii="Verdana" w:eastAsia="Verdana" w:hAnsi="Verdana" w:cs="Verdana"/>
          <w:color w:val="000000"/>
          <w:sz w:val="24"/>
          <w:szCs w:val="24"/>
        </w:rPr>
        <w:t xml:space="preserve">ductivos, se puede hacer </w:t>
      </w:r>
      <w:r>
        <w:rPr>
          <w:rFonts w:ascii="Verdana" w:eastAsia="Verdana" w:hAnsi="Verdana" w:cs="Verdana"/>
          <w:color w:val="000000"/>
          <w:sz w:val="24"/>
          <w:szCs w:val="24"/>
        </w:rPr>
        <w:lastRenderedPageBreak/>
        <w:t xml:space="preserve">de todas formas referencia a </w:t>
      </w:r>
      <w:r w:rsidR="00E63592">
        <w:rPr>
          <w:rFonts w:ascii="Verdana" w:eastAsia="Verdana" w:hAnsi="Verdana" w:cs="Verdana"/>
          <w:color w:val="000000"/>
          <w:sz w:val="24"/>
          <w:szCs w:val="24"/>
        </w:rPr>
        <w:t xml:space="preserve">la Convención Interamericana para Prevenir, Sancionar y Erradicar la Violencia contra la Mujer (Belém do Pará), particularmente </w:t>
      </w:r>
      <w:r w:rsidR="005C2A0F">
        <w:rPr>
          <w:rFonts w:ascii="Verdana" w:eastAsia="Verdana" w:hAnsi="Verdana" w:cs="Verdana"/>
          <w:color w:val="000000"/>
          <w:sz w:val="24"/>
          <w:szCs w:val="24"/>
        </w:rPr>
        <w:t>su</w:t>
      </w:r>
      <w:r w:rsidR="00E63592">
        <w:rPr>
          <w:rFonts w:ascii="Verdana" w:eastAsia="Verdana" w:hAnsi="Verdana" w:cs="Verdana"/>
          <w:color w:val="000000"/>
          <w:sz w:val="24"/>
          <w:szCs w:val="24"/>
        </w:rPr>
        <w:t xml:space="preserve"> artículo 9, en que se establece que los Estados Partes deben tener especialmente en cuenta la vulnerabilidad a la violencia que pueda sufrir la mujer, destacando, entre otr</w:t>
      </w:r>
      <w:r w:rsidR="005C2A0F">
        <w:rPr>
          <w:rFonts w:ascii="Verdana" w:eastAsia="Verdana" w:hAnsi="Verdana" w:cs="Verdana"/>
          <w:color w:val="000000"/>
          <w:sz w:val="24"/>
          <w:szCs w:val="24"/>
        </w:rPr>
        <w:t>a</w:t>
      </w:r>
      <w:r w:rsidR="00E63592">
        <w:rPr>
          <w:rFonts w:ascii="Verdana" w:eastAsia="Verdana" w:hAnsi="Verdana" w:cs="Verdana"/>
          <w:color w:val="000000"/>
          <w:sz w:val="24"/>
          <w:szCs w:val="24"/>
        </w:rPr>
        <w:t>s, a las mujeres con discapacidad.</w:t>
      </w:r>
    </w:p>
    <w:p w:rsidR="0093239F" w:rsidRDefault="0093239F"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p>
    <w:p w:rsidR="00E63592" w:rsidRDefault="00E63592"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Sin perjuicio de esta mención expresa, no se debe olvidar que las mujeres con discapacidad, </w:t>
      </w:r>
      <w:r w:rsidR="005C2A0F">
        <w:rPr>
          <w:rFonts w:ascii="Verdana" w:eastAsia="Verdana" w:hAnsi="Verdana" w:cs="Verdana"/>
          <w:color w:val="000000"/>
          <w:sz w:val="24"/>
          <w:szCs w:val="24"/>
        </w:rPr>
        <w:t xml:space="preserve">y </w:t>
      </w:r>
      <w:r>
        <w:rPr>
          <w:rFonts w:ascii="Verdana" w:eastAsia="Verdana" w:hAnsi="Verdana" w:cs="Verdana"/>
          <w:color w:val="000000"/>
          <w:sz w:val="24"/>
          <w:szCs w:val="24"/>
        </w:rPr>
        <w:t xml:space="preserve">en general todas las personas con </w:t>
      </w:r>
      <w:r w:rsidR="00125E95">
        <w:rPr>
          <w:rFonts w:ascii="Verdana" w:eastAsia="Verdana" w:hAnsi="Verdana" w:cs="Verdana"/>
          <w:color w:val="000000"/>
          <w:sz w:val="24"/>
          <w:szCs w:val="24"/>
        </w:rPr>
        <w:t>discapacidad</w:t>
      </w:r>
      <w:r>
        <w:rPr>
          <w:rFonts w:ascii="Verdana" w:eastAsia="Verdana" w:hAnsi="Verdana" w:cs="Verdana"/>
          <w:color w:val="000000"/>
          <w:sz w:val="24"/>
          <w:szCs w:val="24"/>
        </w:rPr>
        <w:t xml:space="preserve">, gozan de todos los derechos humanos por ser </w:t>
      </w:r>
      <w:r w:rsidR="005C2A0F">
        <w:rPr>
          <w:rFonts w:ascii="Verdana" w:eastAsia="Verdana" w:hAnsi="Verdana" w:cs="Verdana"/>
          <w:color w:val="000000"/>
          <w:sz w:val="24"/>
          <w:szCs w:val="24"/>
        </w:rPr>
        <w:t>é</w:t>
      </w:r>
      <w:r>
        <w:rPr>
          <w:rFonts w:ascii="Verdana" w:eastAsia="Verdana" w:hAnsi="Verdana" w:cs="Verdana"/>
          <w:color w:val="000000"/>
          <w:sz w:val="24"/>
          <w:szCs w:val="24"/>
        </w:rPr>
        <w:t>stos inherentes a la persona</w:t>
      </w:r>
      <w:r w:rsidR="00125E95">
        <w:rPr>
          <w:rFonts w:ascii="Verdana" w:eastAsia="Verdana" w:hAnsi="Verdana" w:cs="Verdana"/>
          <w:color w:val="000000"/>
          <w:sz w:val="24"/>
          <w:szCs w:val="24"/>
        </w:rPr>
        <w:t>, los cuales deben ser respetados por los Estados, obligación adquirida por el artículo 1 de la Convención Americana de Derechos Humanos.</w:t>
      </w:r>
    </w:p>
    <w:p w:rsidR="00125E95" w:rsidRDefault="00125E95"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p>
    <w:p w:rsidR="00125E95" w:rsidRDefault="0093239F"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Por su parte</w:t>
      </w:r>
      <w:r w:rsidR="005C2A0F">
        <w:rPr>
          <w:rFonts w:ascii="Verdana" w:eastAsia="Verdana" w:hAnsi="Verdana" w:cs="Verdana"/>
          <w:color w:val="000000"/>
          <w:sz w:val="24"/>
          <w:szCs w:val="24"/>
        </w:rPr>
        <w:t>,</w:t>
      </w:r>
      <w:r w:rsidR="00125E95">
        <w:rPr>
          <w:rFonts w:ascii="Verdana" w:eastAsia="Verdana" w:hAnsi="Verdana" w:cs="Verdana"/>
          <w:color w:val="000000"/>
          <w:sz w:val="24"/>
          <w:szCs w:val="24"/>
        </w:rPr>
        <w:t xml:space="preserve"> la Corte Interamerica</w:t>
      </w:r>
      <w:r>
        <w:rPr>
          <w:rFonts w:ascii="Verdana" w:eastAsia="Verdana" w:hAnsi="Verdana" w:cs="Verdana"/>
          <w:color w:val="000000"/>
          <w:sz w:val="24"/>
          <w:szCs w:val="24"/>
        </w:rPr>
        <w:t xml:space="preserve">na de Derechos Humanos, </w:t>
      </w:r>
      <w:r w:rsidR="00125E95">
        <w:rPr>
          <w:rFonts w:ascii="Verdana" w:eastAsia="Verdana" w:hAnsi="Verdana" w:cs="Verdana"/>
          <w:color w:val="000000"/>
          <w:sz w:val="24"/>
          <w:szCs w:val="24"/>
        </w:rPr>
        <w:t>en el mismo sentido que los órganos del sistema universal, se ha referido</w:t>
      </w:r>
      <w:r>
        <w:rPr>
          <w:rFonts w:ascii="Verdana" w:eastAsia="Verdana" w:hAnsi="Verdana" w:cs="Verdana"/>
          <w:color w:val="000000"/>
          <w:sz w:val="24"/>
          <w:szCs w:val="24"/>
        </w:rPr>
        <w:t xml:space="preserve"> sobre este asunto </w:t>
      </w:r>
      <w:r w:rsidR="00125E95">
        <w:rPr>
          <w:rFonts w:ascii="Verdana" w:eastAsia="Verdana" w:hAnsi="Verdana" w:cs="Verdana"/>
          <w:color w:val="000000"/>
          <w:sz w:val="24"/>
          <w:szCs w:val="24"/>
        </w:rPr>
        <w:t xml:space="preserve">afirmando que factores como la discapacidad no pueden ser un fundamento para limitar la libre elección de la paciente sobre la </w:t>
      </w:r>
      <w:r w:rsidR="00125E95">
        <w:rPr>
          <w:rFonts w:ascii="Verdana" w:eastAsia="Verdana" w:hAnsi="Verdana" w:cs="Verdana"/>
          <w:color w:val="000000"/>
          <w:sz w:val="24"/>
          <w:szCs w:val="24"/>
        </w:rPr>
        <w:lastRenderedPageBreak/>
        <w:t>esterilización ni obviar la obtención de su consentimiento</w:t>
      </w:r>
      <w:r w:rsidR="00125E95">
        <w:rPr>
          <w:rStyle w:val="Refdenotaalpie"/>
          <w:rFonts w:ascii="Verdana" w:eastAsia="Verdana" w:hAnsi="Verdana" w:cs="Verdana"/>
          <w:color w:val="000000"/>
          <w:sz w:val="24"/>
          <w:szCs w:val="24"/>
        </w:rPr>
        <w:footnoteReference w:id="7"/>
      </w:r>
      <w:r w:rsidR="005C2A0F">
        <w:rPr>
          <w:rFonts w:ascii="Verdana" w:eastAsia="Verdana" w:hAnsi="Verdana" w:cs="Verdana"/>
          <w:color w:val="000000"/>
          <w:sz w:val="24"/>
          <w:szCs w:val="24"/>
        </w:rPr>
        <w:t>.</w:t>
      </w:r>
      <w:r w:rsidR="00125E95">
        <w:rPr>
          <w:rFonts w:ascii="Verdana" w:eastAsia="Verdana" w:hAnsi="Verdana" w:cs="Verdana"/>
          <w:color w:val="000000"/>
          <w:sz w:val="24"/>
          <w:szCs w:val="24"/>
        </w:rPr>
        <w:t xml:space="preserve"> </w:t>
      </w:r>
    </w:p>
    <w:p w:rsidR="002D7F7F" w:rsidRDefault="002D7F7F"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p>
    <w:p w:rsidR="002D7F7F" w:rsidRDefault="002D7F7F"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Asimismo, se refiere a la práctica generalizada que sufren las </w:t>
      </w:r>
      <w:r w:rsidR="00061A40">
        <w:rPr>
          <w:rFonts w:ascii="Verdana" w:eastAsia="Verdana" w:hAnsi="Verdana" w:cs="Verdana"/>
          <w:color w:val="000000"/>
          <w:sz w:val="24"/>
          <w:szCs w:val="24"/>
        </w:rPr>
        <w:t>mujeres</w:t>
      </w:r>
      <w:r>
        <w:rPr>
          <w:rFonts w:ascii="Verdana" w:eastAsia="Verdana" w:hAnsi="Verdana" w:cs="Verdana"/>
          <w:color w:val="000000"/>
          <w:sz w:val="24"/>
          <w:szCs w:val="24"/>
        </w:rPr>
        <w:t xml:space="preserve"> en </w:t>
      </w:r>
      <w:r w:rsidR="00061A40">
        <w:rPr>
          <w:rFonts w:ascii="Verdana" w:eastAsia="Verdana" w:hAnsi="Verdana" w:cs="Verdana"/>
          <w:color w:val="000000"/>
          <w:sz w:val="24"/>
          <w:szCs w:val="24"/>
        </w:rPr>
        <w:t>diversas</w:t>
      </w:r>
      <w:r>
        <w:rPr>
          <w:rFonts w:ascii="Verdana" w:eastAsia="Verdana" w:hAnsi="Verdana" w:cs="Verdana"/>
          <w:color w:val="000000"/>
          <w:sz w:val="24"/>
          <w:szCs w:val="24"/>
        </w:rPr>
        <w:t xml:space="preserve"> partes y contextos del mundo, teniendo un mayor impacto en mujeres que son parte de grupos con una mayor </w:t>
      </w:r>
      <w:r w:rsidR="00061A40">
        <w:rPr>
          <w:rFonts w:ascii="Verdana" w:eastAsia="Verdana" w:hAnsi="Verdana" w:cs="Verdana"/>
          <w:color w:val="000000"/>
          <w:sz w:val="24"/>
          <w:szCs w:val="24"/>
        </w:rPr>
        <w:t>vulnerabilidad</w:t>
      </w:r>
      <w:r>
        <w:rPr>
          <w:rFonts w:ascii="Verdana" w:eastAsia="Verdana" w:hAnsi="Verdana" w:cs="Verdana"/>
          <w:color w:val="000000"/>
          <w:sz w:val="24"/>
          <w:szCs w:val="24"/>
        </w:rPr>
        <w:t xml:space="preserve"> a sufrir esta violación de derechos humanos</w:t>
      </w:r>
      <w:r w:rsidR="00061A40">
        <w:rPr>
          <w:rFonts w:ascii="Verdana" w:eastAsia="Verdana" w:hAnsi="Verdana" w:cs="Verdana"/>
          <w:color w:val="000000"/>
          <w:sz w:val="24"/>
          <w:szCs w:val="24"/>
        </w:rPr>
        <w:t>, siendo una de ell</w:t>
      </w:r>
      <w:r w:rsidR="005C2A0F">
        <w:rPr>
          <w:rFonts w:ascii="Verdana" w:eastAsia="Verdana" w:hAnsi="Verdana" w:cs="Verdana"/>
          <w:color w:val="000000"/>
          <w:sz w:val="24"/>
          <w:szCs w:val="24"/>
        </w:rPr>
        <w:t>o</w:t>
      </w:r>
      <w:r w:rsidR="00061A40">
        <w:rPr>
          <w:rFonts w:ascii="Verdana" w:eastAsia="Verdana" w:hAnsi="Verdana" w:cs="Verdana"/>
          <w:color w:val="000000"/>
          <w:sz w:val="24"/>
          <w:szCs w:val="24"/>
        </w:rPr>
        <w:t>s las mujeres con discapacidad.</w:t>
      </w:r>
    </w:p>
    <w:p w:rsidR="00944F59" w:rsidRDefault="00944F59"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p>
    <w:p w:rsidR="00531B18" w:rsidRDefault="00944F59"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Resulta destacable que, en términos generales, todas las personas</w:t>
      </w:r>
      <w:r w:rsidR="001829A9">
        <w:rPr>
          <w:rFonts w:ascii="Verdana" w:eastAsia="Verdana" w:hAnsi="Verdana" w:cs="Verdana"/>
          <w:color w:val="000000"/>
          <w:sz w:val="24"/>
          <w:szCs w:val="24"/>
        </w:rPr>
        <w:t>, incluidas las personas con discapacidad,</w:t>
      </w:r>
      <w:r>
        <w:rPr>
          <w:rFonts w:ascii="Verdana" w:eastAsia="Verdana" w:hAnsi="Verdana" w:cs="Verdana"/>
          <w:color w:val="000000"/>
          <w:sz w:val="24"/>
          <w:szCs w:val="24"/>
        </w:rPr>
        <w:t xml:space="preserve"> tienen el derecho de consentir en una decisión previa de aceptar o someterse a un acto médico, consentimiento </w:t>
      </w:r>
      <w:r w:rsidR="001829A9">
        <w:rPr>
          <w:rFonts w:ascii="Verdana" w:eastAsia="Verdana" w:hAnsi="Verdana" w:cs="Verdana"/>
          <w:color w:val="000000"/>
          <w:sz w:val="24"/>
          <w:szCs w:val="24"/>
        </w:rPr>
        <w:t xml:space="preserve">que debe ser </w:t>
      </w:r>
      <w:r>
        <w:rPr>
          <w:rFonts w:ascii="Verdana" w:eastAsia="Verdana" w:hAnsi="Verdana" w:cs="Verdana"/>
          <w:color w:val="000000"/>
          <w:sz w:val="24"/>
          <w:szCs w:val="24"/>
        </w:rPr>
        <w:t>obtenido de manera libre</w:t>
      </w:r>
      <w:r>
        <w:rPr>
          <w:rStyle w:val="Refdenotaalpie"/>
          <w:rFonts w:ascii="Verdana" w:eastAsia="Verdana" w:hAnsi="Verdana" w:cs="Verdana"/>
          <w:color w:val="000000"/>
          <w:sz w:val="24"/>
          <w:szCs w:val="24"/>
        </w:rPr>
        <w:footnoteReference w:id="8"/>
      </w:r>
      <w:r w:rsidR="001829A9">
        <w:rPr>
          <w:rFonts w:ascii="Verdana" w:eastAsia="Verdana" w:hAnsi="Verdana" w:cs="Verdana"/>
          <w:color w:val="000000"/>
          <w:sz w:val="24"/>
          <w:szCs w:val="24"/>
        </w:rPr>
        <w:t>.</w:t>
      </w:r>
    </w:p>
    <w:p w:rsidR="00531B18" w:rsidRDefault="00531B18"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Asimismo, para la Corte Interamericana</w:t>
      </w:r>
      <w:r w:rsidR="001829A9">
        <w:rPr>
          <w:rFonts w:ascii="Verdana" w:eastAsia="Verdana" w:hAnsi="Verdana" w:cs="Verdana"/>
          <w:color w:val="000000"/>
          <w:sz w:val="24"/>
          <w:szCs w:val="24"/>
        </w:rPr>
        <w:t>,</w:t>
      </w:r>
      <w:r>
        <w:rPr>
          <w:rFonts w:ascii="Verdana" w:eastAsia="Verdana" w:hAnsi="Verdana" w:cs="Verdana"/>
          <w:color w:val="000000"/>
          <w:sz w:val="24"/>
          <w:szCs w:val="24"/>
        </w:rPr>
        <w:t xml:space="preserve"> la salud </w:t>
      </w:r>
      <w:r w:rsidR="003F2568">
        <w:rPr>
          <w:rFonts w:ascii="Verdana" w:eastAsia="Verdana" w:hAnsi="Verdana" w:cs="Verdana"/>
          <w:color w:val="000000"/>
          <w:sz w:val="24"/>
          <w:szCs w:val="24"/>
        </w:rPr>
        <w:t>también</w:t>
      </w:r>
      <w:r>
        <w:rPr>
          <w:rFonts w:ascii="Verdana" w:eastAsia="Verdana" w:hAnsi="Verdana" w:cs="Verdana"/>
          <w:color w:val="000000"/>
          <w:sz w:val="24"/>
          <w:szCs w:val="24"/>
        </w:rPr>
        <w:t xml:space="preserve"> abarca </w:t>
      </w:r>
      <w:r w:rsidR="003F2568">
        <w:rPr>
          <w:rFonts w:ascii="Verdana" w:eastAsia="Verdana" w:hAnsi="Verdana" w:cs="Verdana"/>
          <w:color w:val="000000"/>
          <w:sz w:val="24"/>
          <w:szCs w:val="24"/>
        </w:rPr>
        <w:t xml:space="preserve">la libertad de cada individuo de controlar su salud y su cuerpo y el derecho a no padecer injerencias, tales como no ser sometido a torturas ni a tratamientos y experimentos médicos no </w:t>
      </w:r>
      <w:r w:rsidR="003F2568">
        <w:rPr>
          <w:rFonts w:ascii="Verdana" w:eastAsia="Verdana" w:hAnsi="Verdana" w:cs="Verdana"/>
          <w:color w:val="000000"/>
          <w:sz w:val="24"/>
          <w:szCs w:val="24"/>
        </w:rPr>
        <w:lastRenderedPageBreak/>
        <w:t>consentidos</w:t>
      </w:r>
      <w:r w:rsidR="003F2568">
        <w:rPr>
          <w:rStyle w:val="Refdenotaalpie"/>
          <w:rFonts w:ascii="Verdana" w:eastAsia="Verdana" w:hAnsi="Verdana" w:cs="Verdana"/>
          <w:color w:val="000000"/>
          <w:sz w:val="24"/>
          <w:szCs w:val="24"/>
        </w:rPr>
        <w:footnoteReference w:id="9"/>
      </w:r>
      <w:r w:rsidR="001829A9">
        <w:rPr>
          <w:rFonts w:ascii="Verdana" w:eastAsia="Verdana" w:hAnsi="Verdana" w:cs="Verdana"/>
          <w:color w:val="000000"/>
          <w:sz w:val="24"/>
          <w:szCs w:val="24"/>
        </w:rPr>
        <w:t>.</w:t>
      </w:r>
      <w:r w:rsidR="003F2568">
        <w:rPr>
          <w:rFonts w:ascii="Verdana" w:eastAsia="Verdana" w:hAnsi="Verdana" w:cs="Verdana"/>
          <w:color w:val="000000"/>
          <w:sz w:val="24"/>
          <w:szCs w:val="24"/>
        </w:rPr>
        <w:t xml:space="preserve"> Incluso la Corte considera que someter a tratamiento de esterilización  a una persona </w:t>
      </w:r>
      <w:r w:rsidR="0093239F">
        <w:rPr>
          <w:rFonts w:ascii="Verdana" w:eastAsia="Verdana" w:hAnsi="Verdana" w:cs="Verdana"/>
          <w:color w:val="000000"/>
          <w:sz w:val="24"/>
          <w:szCs w:val="24"/>
        </w:rPr>
        <w:t xml:space="preserve">que </w:t>
      </w:r>
      <w:r w:rsidR="003F2568">
        <w:rPr>
          <w:rFonts w:ascii="Verdana" w:eastAsia="Verdana" w:hAnsi="Verdana" w:cs="Verdana"/>
          <w:color w:val="000000"/>
          <w:sz w:val="24"/>
          <w:szCs w:val="24"/>
        </w:rPr>
        <w:t>no lo desea, implicaría condicionar el pleno ejercicio de varios derechos, entre ellos, a la vida privada, […] y conllevaría a la renuncia del goce pleno y efectivo de su derecho a la integridad personal</w:t>
      </w:r>
      <w:r w:rsidR="003F2568">
        <w:rPr>
          <w:rStyle w:val="Refdenotaalpie"/>
          <w:rFonts w:ascii="Verdana" w:eastAsia="Verdana" w:hAnsi="Verdana" w:cs="Verdana"/>
          <w:color w:val="000000"/>
          <w:sz w:val="24"/>
          <w:szCs w:val="24"/>
        </w:rPr>
        <w:footnoteReference w:id="10"/>
      </w:r>
      <w:r w:rsidR="001829A9">
        <w:rPr>
          <w:rFonts w:ascii="Verdana" w:eastAsia="Verdana" w:hAnsi="Verdana" w:cs="Verdana"/>
          <w:color w:val="000000"/>
          <w:sz w:val="24"/>
          <w:szCs w:val="24"/>
        </w:rPr>
        <w:t>.</w:t>
      </w:r>
    </w:p>
    <w:p w:rsidR="00E63592" w:rsidRDefault="00E63592" w:rsidP="004E3E14">
      <w:pPr>
        <w:pStyle w:val="Normal1"/>
        <w:widowControl w:val="0"/>
        <w:pBdr>
          <w:top w:val="nil"/>
          <w:left w:val="nil"/>
          <w:bottom w:val="nil"/>
          <w:right w:val="nil"/>
          <w:between w:val="nil"/>
        </w:pBdr>
        <w:spacing w:after="0" w:line="276" w:lineRule="auto"/>
        <w:jc w:val="both"/>
        <w:rPr>
          <w:rFonts w:ascii="Verdana" w:eastAsia="Verdana" w:hAnsi="Verdana" w:cs="Verdana"/>
          <w:color w:val="000000"/>
          <w:sz w:val="24"/>
          <w:szCs w:val="24"/>
        </w:rPr>
      </w:pPr>
    </w:p>
    <w:p w:rsidR="004E3E14" w:rsidRDefault="004E3E14" w:rsidP="004E3E14">
      <w:pPr>
        <w:pStyle w:val="Normal1"/>
        <w:widowControl w:val="0"/>
        <w:pBdr>
          <w:top w:val="nil"/>
          <w:left w:val="nil"/>
          <w:bottom w:val="nil"/>
          <w:right w:val="nil"/>
          <w:between w:val="nil"/>
        </w:pBdr>
        <w:spacing w:after="0" w:line="276" w:lineRule="auto"/>
        <w:jc w:val="both"/>
        <w:rPr>
          <w:rFonts w:ascii="Verdana" w:eastAsia="Verdana" w:hAnsi="Verdana" w:cs="Verdana"/>
          <w:b/>
          <w:color w:val="000000"/>
          <w:sz w:val="24"/>
          <w:szCs w:val="24"/>
        </w:rPr>
      </w:pPr>
      <w:r>
        <w:rPr>
          <w:rFonts w:ascii="Verdana" w:eastAsia="Verdana" w:hAnsi="Verdana" w:cs="Verdana"/>
          <w:b/>
          <w:color w:val="000000"/>
          <w:sz w:val="24"/>
          <w:szCs w:val="24"/>
        </w:rPr>
        <w:t>Derecho Interno</w:t>
      </w:r>
    </w:p>
    <w:p w:rsidR="004E3E14" w:rsidRDefault="004E3E14" w:rsidP="004E3E14">
      <w:pPr>
        <w:pStyle w:val="Normal1"/>
        <w:widowControl w:val="0"/>
        <w:pBdr>
          <w:top w:val="nil"/>
          <w:left w:val="nil"/>
          <w:bottom w:val="nil"/>
          <w:right w:val="nil"/>
          <w:between w:val="nil"/>
        </w:pBdr>
        <w:spacing w:after="0" w:line="276" w:lineRule="auto"/>
        <w:jc w:val="both"/>
        <w:rPr>
          <w:rFonts w:ascii="Verdana" w:eastAsia="Verdana" w:hAnsi="Verdana" w:cs="Verdana"/>
          <w:b/>
          <w:color w:val="000000"/>
          <w:sz w:val="24"/>
          <w:szCs w:val="24"/>
        </w:rPr>
      </w:pPr>
    </w:p>
    <w:p w:rsidR="004E3E14" w:rsidRPr="004E3E14" w:rsidRDefault="004E3E14" w:rsidP="004E3E14">
      <w:pPr>
        <w:pStyle w:val="Normal1"/>
        <w:jc w:val="both"/>
        <w:rPr>
          <w:rFonts w:ascii="Verdana" w:eastAsia="Verdana" w:hAnsi="Verdana" w:cs="Verdana"/>
          <w:color w:val="000000"/>
          <w:sz w:val="24"/>
          <w:szCs w:val="24"/>
        </w:rPr>
      </w:pPr>
      <w:r w:rsidRPr="004E3E14">
        <w:rPr>
          <w:rFonts w:ascii="Verdana" w:eastAsia="Verdana" w:hAnsi="Verdana" w:cs="Verdana"/>
          <w:color w:val="000000"/>
          <w:sz w:val="24"/>
          <w:szCs w:val="24"/>
        </w:rPr>
        <w:t xml:space="preserve">En el Derecho Interno existe regulación expresa </w:t>
      </w:r>
      <w:r w:rsidR="0093239F">
        <w:rPr>
          <w:rFonts w:ascii="Verdana" w:eastAsia="Verdana" w:hAnsi="Verdana" w:cs="Verdana"/>
          <w:color w:val="000000"/>
          <w:sz w:val="24"/>
          <w:szCs w:val="24"/>
        </w:rPr>
        <w:t>referente al consentimiento informado</w:t>
      </w:r>
      <w:r w:rsidR="001829A9">
        <w:rPr>
          <w:rFonts w:ascii="Verdana" w:eastAsia="Verdana" w:hAnsi="Verdana" w:cs="Verdana"/>
          <w:color w:val="000000"/>
          <w:sz w:val="24"/>
          <w:szCs w:val="24"/>
        </w:rPr>
        <w:t>.</w:t>
      </w:r>
      <w:r w:rsidRPr="004E3E14">
        <w:rPr>
          <w:rFonts w:ascii="Verdana" w:eastAsia="Verdana" w:hAnsi="Verdana" w:cs="Verdana"/>
          <w:color w:val="000000"/>
          <w:sz w:val="24"/>
          <w:szCs w:val="24"/>
        </w:rPr>
        <w:t xml:space="preserve"> </w:t>
      </w:r>
      <w:r w:rsidR="001829A9">
        <w:rPr>
          <w:rFonts w:ascii="Verdana" w:eastAsia="Verdana" w:hAnsi="Verdana" w:cs="Verdana"/>
          <w:color w:val="000000"/>
          <w:sz w:val="24"/>
          <w:szCs w:val="24"/>
        </w:rPr>
        <w:t>E</w:t>
      </w:r>
      <w:r w:rsidRPr="004E3E14">
        <w:rPr>
          <w:rFonts w:ascii="Verdana" w:eastAsia="Verdana" w:hAnsi="Verdana" w:cs="Verdana"/>
          <w:color w:val="000000"/>
          <w:sz w:val="24"/>
          <w:szCs w:val="24"/>
        </w:rPr>
        <w:t xml:space="preserve">l artículo 9 de la Ley Nº20.422 establece que </w:t>
      </w:r>
      <w:r w:rsidRPr="004E3E14">
        <w:rPr>
          <w:rFonts w:ascii="Verdana" w:eastAsia="Verdana" w:hAnsi="Verdana" w:cs="Verdana"/>
          <w:i/>
          <w:color w:val="000000"/>
          <w:sz w:val="24"/>
          <w:szCs w:val="24"/>
        </w:rPr>
        <w:t>“[e]l Estado adoptará las medidas necesarias para asegurar a las mujeres con discapacidad y a las personas con discapacidad mental, sea por causa psíquica o intelectual, el pleno goce y ejercicio de sus derechos en condiciones de igualdad con las demás, en especial lo referente a su dignidad, el derecho a constituir y ser parte de una familia, su sexualidad y salud reproductiva.”.</w:t>
      </w:r>
      <w:r w:rsidRPr="004E3E14">
        <w:rPr>
          <w:rFonts w:ascii="Verdana" w:eastAsia="Verdana" w:hAnsi="Verdana" w:cs="Verdana"/>
          <w:color w:val="000000"/>
          <w:sz w:val="24"/>
          <w:szCs w:val="24"/>
        </w:rPr>
        <w:t xml:space="preserve"> Por su parte</w:t>
      </w:r>
      <w:r w:rsidR="001829A9">
        <w:rPr>
          <w:rFonts w:ascii="Verdana" w:eastAsia="Verdana" w:hAnsi="Verdana" w:cs="Verdana"/>
          <w:color w:val="000000"/>
          <w:sz w:val="24"/>
          <w:szCs w:val="24"/>
        </w:rPr>
        <w:t>,</w:t>
      </w:r>
      <w:r w:rsidRPr="004E3E14">
        <w:rPr>
          <w:rFonts w:ascii="Verdana" w:eastAsia="Verdana" w:hAnsi="Verdana" w:cs="Verdana"/>
          <w:color w:val="000000"/>
          <w:sz w:val="24"/>
          <w:szCs w:val="24"/>
        </w:rPr>
        <w:t xml:space="preserve"> la ley Nº20.584, que Regula los </w:t>
      </w:r>
      <w:r w:rsidRPr="004E3E14">
        <w:rPr>
          <w:rFonts w:ascii="Verdana" w:eastAsia="Verdana" w:hAnsi="Verdana" w:cs="Verdana"/>
          <w:color w:val="000000"/>
          <w:sz w:val="24"/>
          <w:szCs w:val="24"/>
        </w:rPr>
        <w:lastRenderedPageBreak/>
        <w:t>Derechos y Deberes que tienen las Personas en Relación con Acciones Vinculadas a su Atención en Salud, asegura, en su artículo 14, que toda persona tiene derecho a otorgar o denegar su voluntad para someterse a cualquier procedimiento o tratamiento vinculado a su atención de salud, el cual debe ser ejercido en forma libre, voluntaria, expresa e informada.</w:t>
      </w:r>
    </w:p>
    <w:p w:rsidR="004E3E14" w:rsidRPr="004E3E14" w:rsidRDefault="004E3E14" w:rsidP="004E3E14">
      <w:pPr>
        <w:pStyle w:val="Normal1"/>
        <w:jc w:val="both"/>
        <w:rPr>
          <w:rFonts w:ascii="Verdana" w:eastAsia="Verdana" w:hAnsi="Verdana" w:cs="Verdana"/>
          <w:color w:val="000000"/>
          <w:sz w:val="24"/>
          <w:szCs w:val="24"/>
        </w:rPr>
      </w:pPr>
      <w:r w:rsidRPr="004E3E14">
        <w:rPr>
          <w:rFonts w:ascii="Verdana" w:eastAsia="Verdana" w:hAnsi="Verdana" w:cs="Verdana"/>
          <w:color w:val="000000"/>
          <w:sz w:val="24"/>
          <w:szCs w:val="24"/>
        </w:rPr>
        <w:t xml:space="preserve">Asimismo, en el artículo 15 de la misma ley se establecen las situaciones en que no se requerirá la manifestación de voluntad, contemplando </w:t>
      </w:r>
      <w:r w:rsidR="001829A9">
        <w:rPr>
          <w:rFonts w:ascii="Verdana" w:eastAsia="Verdana" w:hAnsi="Verdana" w:cs="Verdana"/>
          <w:color w:val="000000"/>
          <w:sz w:val="24"/>
          <w:szCs w:val="24"/>
        </w:rPr>
        <w:t xml:space="preserve">además medidas </w:t>
      </w:r>
      <w:r w:rsidRPr="004E3E14">
        <w:rPr>
          <w:rFonts w:ascii="Verdana" w:eastAsia="Verdana" w:hAnsi="Verdana" w:cs="Verdana"/>
          <w:color w:val="000000"/>
          <w:sz w:val="24"/>
          <w:szCs w:val="24"/>
        </w:rPr>
        <w:t>cuando la persona se encuentra en incapacidad de manifestar su voluntad y no es posible obtenerla de su representante legal, por no existir o por no ser habido. En estos casos se</w:t>
      </w:r>
      <w:r w:rsidR="001829A9">
        <w:rPr>
          <w:rFonts w:ascii="Verdana" w:eastAsia="Verdana" w:hAnsi="Verdana" w:cs="Verdana"/>
          <w:color w:val="000000"/>
          <w:sz w:val="24"/>
          <w:szCs w:val="24"/>
        </w:rPr>
        <w:t xml:space="preserve"> deben</w:t>
      </w:r>
      <w:r w:rsidRPr="004E3E14">
        <w:rPr>
          <w:rFonts w:ascii="Verdana" w:eastAsia="Verdana" w:hAnsi="Verdana" w:cs="Verdana"/>
          <w:color w:val="000000"/>
          <w:sz w:val="24"/>
          <w:szCs w:val="24"/>
        </w:rPr>
        <w:t xml:space="preserve"> adoptar las medidas apropiadas en orden a garantizar la protección de la vida. En este sentido, el párrafo 8º del título II</w:t>
      </w:r>
      <w:r w:rsidR="006E7BBC">
        <w:rPr>
          <w:rFonts w:ascii="Verdana" w:eastAsia="Verdana" w:hAnsi="Verdana" w:cs="Verdana"/>
          <w:color w:val="000000"/>
          <w:sz w:val="24"/>
          <w:szCs w:val="24"/>
        </w:rPr>
        <w:t xml:space="preserve"> de la citada Ley N°20.584</w:t>
      </w:r>
      <w:r w:rsidRPr="004E3E14">
        <w:rPr>
          <w:rFonts w:ascii="Verdana" w:eastAsia="Verdana" w:hAnsi="Verdana" w:cs="Verdana"/>
          <w:color w:val="000000"/>
          <w:sz w:val="24"/>
          <w:szCs w:val="24"/>
        </w:rPr>
        <w:t xml:space="preserve">, </w:t>
      </w:r>
      <w:r w:rsidR="006E7BBC">
        <w:rPr>
          <w:rFonts w:ascii="Verdana" w:eastAsia="Verdana" w:hAnsi="Verdana" w:cs="Verdana"/>
          <w:color w:val="000000"/>
          <w:sz w:val="24"/>
          <w:szCs w:val="24"/>
        </w:rPr>
        <w:t xml:space="preserve">titulado </w:t>
      </w:r>
      <w:r w:rsidRPr="004E3E14">
        <w:rPr>
          <w:rFonts w:ascii="Verdana" w:eastAsia="Verdana" w:hAnsi="Verdana" w:cs="Verdana"/>
          <w:color w:val="000000"/>
          <w:sz w:val="24"/>
          <w:szCs w:val="24"/>
        </w:rPr>
        <w:t xml:space="preserve">de los derechos de las personas con discapacidad psíquica o intelectual, establece que si la persona no se encuentra en condiciones de manifestar su voluntad, las indicaciones y aplicación de tratamientos invasivos e irreversibles, tales como esterilización con fines </w:t>
      </w:r>
      <w:r w:rsidRPr="004E3E14">
        <w:rPr>
          <w:rFonts w:ascii="Verdana" w:eastAsia="Verdana" w:hAnsi="Verdana" w:cs="Verdana"/>
          <w:color w:val="000000"/>
          <w:sz w:val="24"/>
          <w:szCs w:val="24"/>
        </w:rPr>
        <w:lastRenderedPageBreak/>
        <w:t>contraceptivos, psicocirugía u otros de carácter irreversible, deben contar siempre con el informe favorable del comité de ética</w:t>
      </w:r>
      <w:r w:rsidR="006E7BBC">
        <w:rPr>
          <w:rFonts w:ascii="Verdana" w:eastAsia="Verdana" w:hAnsi="Verdana" w:cs="Verdana"/>
          <w:color w:val="000000"/>
          <w:sz w:val="24"/>
          <w:szCs w:val="24"/>
        </w:rPr>
        <w:t xml:space="preserve"> del establecimiento de salud de que se trate</w:t>
      </w:r>
      <w:r w:rsidRPr="004E3E14">
        <w:rPr>
          <w:rFonts w:ascii="Verdana" w:eastAsia="Verdana" w:hAnsi="Verdana" w:cs="Verdana"/>
          <w:color w:val="000000"/>
          <w:sz w:val="24"/>
          <w:szCs w:val="24"/>
        </w:rPr>
        <w:t>.</w:t>
      </w:r>
    </w:p>
    <w:p w:rsidR="004E3E14" w:rsidRPr="004E3E14" w:rsidRDefault="004E3E14" w:rsidP="004E3E14">
      <w:pPr>
        <w:pStyle w:val="Normal1"/>
        <w:jc w:val="both"/>
        <w:rPr>
          <w:rFonts w:ascii="Verdana" w:eastAsia="Verdana" w:hAnsi="Verdana" w:cs="Verdana"/>
          <w:color w:val="000000"/>
          <w:sz w:val="24"/>
          <w:szCs w:val="24"/>
        </w:rPr>
      </w:pPr>
      <w:r w:rsidRPr="004E3E14">
        <w:rPr>
          <w:rFonts w:ascii="Verdana" w:eastAsia="Verdana" w:hAnsi="Verdana" w:cs="Verdana"/>
          <w:color w:val="000000"/>
          <w:sz w:val="24"/>
          <w:szCs w:val="24"/>
        </w:rPr>
        <w:t>Por otro lado, el Ministerio de Salud, mediante la Circular NºA15/05 de 06 de marzo de 2018, sobre Esterilización Quirúrgica con Fines Contraceptivos en Personas con Discapacidad Mental que no pueden Manifestar su Voluntad, entrega ciertos criterios y requisitos para proceder a este tipo de prácticas. Los lineamientos establecidos son los siguientes:</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“a) Se reconoce que toda persona con enfermedad mental o con discapacidad intelectual o psíquica, goza de todos los derechos que la Constitución Política le</w:t>
      </w:r>
      <w:r>
        <w:rPr>
          <w:rFonts w:ascii="Verdana" w:eastAsia="Verdana" w:hAnsi="Verdana" w:cs="Verdana"/>
          <w:i/>
          <w:color w:val="000000"/>
          <w:sz w:val="24"/>
          <w:szCs w:val="24"/>
        </w:rPr>
        <w:t xml:space="preserve"> </w:t>
      </w:r>
      <w:r w:rsidRPr="004E3E14">
        <w:rPr>
          <w:rFonts w:ascii="Verdana" w:eastAsia="Verdana" w:hAnsi="Verdana" w:cs="Verdana"/>
          <w:i/>
          <w:color w:val="000000"/>
          <w:sz w:val="24"/>
          <w:szCs w:val="24"/>
        </w:rPr>
        <w:t>garantiza a todas las personas.</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b) Se reconoce que toda persona con discapacidad de origen mental tiene el derecho de expresar su voluntad o preferencia sobre el uso y tipo de métodos anticonceptivos, que debe ser siempre respetada y deberá consignarse por escrito. El acceso a mecanismos anticonceptivos deberá proveerse en igualdad de condiciones que las demás personas.</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lastRenderedPageBreak/>
        <w:t>c) De ser necesario para conocer la preferencia y voluntad de la persona, se deben brindar apoyos y ajustes razonables, así como ofrecer el mejor tratamiento que resulte pertinente para optimizar su capacidad de decidir.</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d) No se debe realizar el procedimiento de esterilización como método anticonceptivo contra la voluntad o preferencia de la persona, o si la persona no puede manifestar su voluntad o preferencia.</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 xml:space="preserve">e) Excepcionalmente, se podrá realizar una esterilización quirúrgica en persona que no puede manifestar su voluntad o preferencia, si se cumplen los siguientes requisitos: </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1. Que la persona haya cumplido la mayoría de edad al momento de practicarse el procedimiento;</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2. Que la persona presente una incapacidad permanente para consentir o manifestar su preferencia, esto es que esta incapacidad no sea producto de un estado clínico susceptible de revertir;</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 xml:space="preserve">3. Que la necesidad de realizar el procedimiento obedezca exclusivamente a </w:t>
      </w:r>
      <w:r w:rsidRPr="002B79EE">
        <w:rPr>
          <w:rFonts w:ascii="Verdana" w:eastAsia="Verdana" w:hAnsi="Verdana" w:cs="Verdana"/>
          <w:i/>
          <w:color w:val="000000"/>
          <w:sz w:val="24"/>
          <w:szCs w:val="24"/>
        </w:rPr>
        <w:t>indicación médica</w:t>
      </w:r>
      <w:r w:rsidRPr="004E3E14">
        <w:rPr>
          <w:rFonts w:ascii="Verdana" w:eastAsia="Verdana" w:hAnsi="Verdana" w:cs="Verdana"/>
          <w:i/>
          <w:color w:val="000000"/>
          <w:sz w:val="24"/>
          <w:szCs w:val="24"/>
        </w:rPr>
        <w:t xml:space="preserve"> fundada en razones de la misma índole, habiéndose descartado, por</w:t>
      </w:r>
      <w:r>
        <w:rPr>
          <w:rFonts w:ascii="Verdana" w:eastAsia="Verdana" w:hAnsi="Verdana" w:cs="Verdana"/>
          <w:i/>
          <w:color w:val="000000"/>
          <w:sz w:val="24"/>
          <w:szCs w:val="24"/>
        </w:rPr>
        <w:t xml:space="preserve"> </w:t>
      </w:r>
      <w:r w:rsidRPr="004E3E14">
        <w:rPr>
          <w:rFonts w:ascii="Verdana" w:eastAsia="Verdana" w:hAnsi="Verdana" w:cs="Verdana"/>
          <w:i/>
          <w:color w:val="000000"/>
          <w:sz w:val="24"/>
          <w:szCs w:val="24"/>
        </w:rPr>
        <w:lastRenderedPageBreak/>
        <w:t>contraindicación médica fundamentada, la prescripción o uso de métodos anticonceptivos reversibles;</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4. Que se hayan realizado todas las acciones necesarias para conocer la preferencia de la persona con respecto al uso de métodos contraceptivos. Nunca se debe considerar que la persona pierde la capacidad de consentir o expresar preferencias basado sólo en el diagnóstico que presenta;</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 xml:space="preserve">5. </w:t>
      </w:r>
      <w:r w:rsidRPr="002B79EE">
        <w:rPr>
          <w:rFonts w:ascii="Verdana" w:eastAsia="Verdana" w:hAnsi="Verdana" w:cs="Verdana"/>
          <w:i/>
          <w:color w:val="000000"/>
          <w:sz w:val="24"/>
          <w:szCs w:val="24"/>
        </w:rPr>
        <w:t>Que la solicitud de efectuar el procedimiento no tenga como objetivo evitar un posible embarazo, debido a situaciones de abuso sexual y violación, en especial en una persona que no presenta una vida sexual activa con posibilidad de embarazo;</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6. Que la solicitud de realizar el procedimiento debe ser hecha por una persona natural y no por una institución, con el objeto de proteger el interés superior de la persona y no la conveniencia de terceros;</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 xml:space="preserve">7. </w:t>
      </w:r>
      <w:r w:rsidRPr="002B79EE">
        <w:rPr>
          <w:rFonts w:ascii="Verdana" w:eastAsia="Verdana" w:hAnsi="Verdana" w:cs="Verdana"/>
          <w:i/>
          <w:color w:val="000000"/>
          <w:sz w:val="24"/>
          <w:szCs w:val="24"/>
        </w:rPr>
        <w:t>Que se cuente con el consentimiento del representante legal, si lo hubiere</w:t>
      </w:r>
      <w:r w:rsidRPr="004E3E14">
        <w:rPr>
          <w:rFonts w:ascii="Verdana" w:eastAsia="Verdana" w:hAnsi="Verdana" w:cs="Verdana"/>
          <w:i/>
          <w:color w:val="000000"/>
          <w:sz w:val="24"/>
          <w:szCs w:val="24"/>
        </w:rPr>
        <w:t>;</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 xml:space="preserve">8. Que el Comité de Ética Asistencial respectivo haya dado su opinión favorable, después de haber analizado e informado rigurosamente el </w:t>
      </w:r>
      <w:r w:rsidRPr="004E3E14">
        <w:rPr>
          <w:rFonts w:ascii="Verdana" w:eastAsia="Verdana" w:hAnsi="Verdana" w:cs="Verdana"/>
          <w:i/>
          <w:color w:val="000000"/>
          <w:sz w:val="24"/>
          <w:szCs w:val="24"/>
        </w:rPr>
        <w:lastRenderedPageBreak/>
        <w:t>caso, incluido el proceso efectuado para conocer la preferencia de la persona y el proceso de deliberación realizado;</w:t>
      </w:r>
    </w:p>
    <w:p w:rsidR="004E3E14" w:rsidRPr="004E3E14" w:rsidRDefault="004E3E14" w:rsidP="004E3E14">
      <w:pPr>
        <w:pStyle w:val="Normal1"/>
        <w:jc w:val="both"/>
        <w:rPr>
          <w:rFonts w:ascii="Verdana" w:eastAsia="Verdana" w:hAnsi="Verdana" w:cs="Verdana"/>
          <w:i/>
          <w:color w:val="000000"/>
          <w:sz w:val="24"/>
          <w:szCs w:val="24"/>
        </w:rPr>
      </w:pPr>
      <w:r w:rsidRPr="004E3E14">
        <w:rPr>
          <w:rFonts w:ascii="Verdana" w:eastAsia="Verdana" w:hAnsi="Verdana" w:cs="Verdana"/>
          <w:i/>
          <w:color w:val="000000"/>
          <w:sz w:val="24"/>
          <w:szCs w:val="24"/>
        </w:rPr>
        <w:t>9. Que la Comisión Nacional de Protección de los Derechos de las Personas con Enfermedades Mentales haya otorgado su aprobación.”</w:t>
      </w:r>
      <w:r w:rsidR="006E7BBC">
        <w:rPr>
          <w:rFonts w:ascii="Verdana" w:eastAsia="Verdana" w:hAnsi="Verdana" w:cs="Verdana"/>
          <w:i/>
          <w:color w:val="000000"/>
          <w:sz w:val="24"/>
          <w:szCs w:val="24"/>
        </w:rPr>
        <w:t>.</w:t>
      </w:r>
    </w:p>
    <w:p w:rsidR="00F965D5" w:rsidRPr="00F965D5" w:rsidRDefault="00F965D5" w:rsidP="00744759">
      <w:pPr>
        <w:jc w:val="both"/>
        <w:rPr>
          <w:rFonts w:ascii="Verdana" w:hAnsi="Verdana"/>
          <w:b/>
          <w:sz w:val="24"/>
          <w:szCs w:val="24"/>
          <w:lang w:val="es-CL"/>
        </w:rPr>
      </w:pPr>
      <w:r w:rsidRPr="00F965D5">
        <w:rPr>
          <w:rFonts w:ascii="Verdana" w:hAnsi="Verdana"/>
          <w:b/>
          <w:sz w:val="24"/>
          <w:szCs w:val="24"/>
          <w:lang w:val="es-CL"/>
        </w:rPr>
        <w:t>Reflexiones finales</w:t>
      </w:r>
    </w:p>
    <w:p w:rsidR="00670BBD" w:rsidRDefault="00CA512A" w:rsidP="004E3E14">
      <w:pPr>
        <w:jc w:val="both"/>
        <w:rPr>
          <w:rFonts w:ascii="Verdana" w:eastAsia="Verdana" w:hAnsi="Verdana" w:cs="Verdana"/>
          <w:color w:val="000000"/>
          <w:sz w:val="24"/>
          <w:szCs w:val="24"/>
        </w:rPr>
      </w:pPr>
      <w:r>
        <w:rPr>
          <w:rFonts w:ascii="Verdana" w:eastAsia="Verdana" w:hAnsi="Verdana" w:cs="Verdana"/>
          <w:color w:val="000000"/>
          <w:sz w:val="24"/>
          <w:szCs w:val="24"/>
          <w:lang w:val="es-CL"/>
        </w:rPr>
        <w:t>En primer lugar</w:t>
      </w:r>
      <w:r w:rsidR="006E7BBC">
        <w:rPr>
          <w:rFonts w:ascii="Verdana" w:eastAsia="Verdana" w:hAnsi="Verdana" w:cs="Verdana"/>
          <w:color w:val="000000"/>
          <w:sz w:val="24"/>
          <w:szCs w:val="24"/>
          <w:lang w:val="es-CL"/>
        </w:rPr>
        <w:t>,</w:t>
      </w:r>
      <w:r>
        <w:rPr>
          <w:rFonts w:ascii="Verdana" w:eastAsia="Verdana" w:hAnsi="Verdana" w:cs="Verdana"/>
          <w:color w:val="000000"/>
          <w:sz w:val="24"/>
          <w:szCs w:val="24"/>
          <w:lang w:val="es-CL"/>
        </w:rPr>
        <w:t xml:space="preserve"> h</w:t>
      </w:r>
      <w:r w:rsidR="004E3E14">
        <w:rPr>
          <w:rFonts w:ascii="Verdana" w:eastAsia="Verdana" w:hAnsi="Verdana" w:cs="Verdana"/>
          <w:color w:val="000000"/>
          <w:sz w:val="24"/>
          <w:szCs w:val="24"/>
        </w:rPr>
        <w:t>ay que tener en consideración que el Comité sobre los Derechos de las Personas con Discapacidad de Naciones Unidas, en sus Observaciones Finales</w:t>
      </w:r>
      <w:r>
        <w:rPr>
          <w:rFonts w:ascii="Verdana" w:eastAsia="Verdana" w:hAnsi="Verdana" w:cs="Verdana"/>
          <w:color w:val="000000"/>
          <w:sz w:val="24"/>
          <w:szCs w:val="24"/>
        </w:rPr>
        <w:t xml:space="preserve"> del año 2016</w:t>
      </w:r>
      <w:r w:rsidR="006E7BBC">
        <w:rPr>
          <w:rFonts w:ascii="Verdana" w:eastAsia="Verdana" w:hAnsi="Verdana" w:cs="Verdana"/>
          <w:color w:val="000000"/>
          <w:sz w:val="24"/>
          <w:szCs w:val="24"/>
        </w:rPr>
        <w:t xml:space="preserve">, </w:t>
      </w:r>
      <w:r w:rsidR="004E3E14">
        <w:rPr>
          <w:rFonts w:ascii="Verdana" w:eastAsia="Verdana" w:hAnsi="Verdana" w:cs="Verdana"/>
          <w:color w:val="000000"/>
          <w:sz w:val="24"/>
          <w:szCs w:val="24"/>
        </w:rPr>
        <w:t>sobre el informe inicial de Chile, solicitó que se garantice sin excepción el consentimiento libre e informado de personas con discapacidad, incluyendo a las personas declaradas en interdicción, para toda intervención quirúrgica o tratamiento médico de carácter invasivo y aquellos irreversibles, tales como la esterilización y las cirugías a niños y niñas intersex.</w:t>
      </w:r>
    </w:p>
    <w:p w:rsidR="007932A4" w:rsidRDefault="007932A4" w:rsidP="004E3E14">
      <w:pPr>
        <w:jc w:val="both"/>
        <w:rPr>
          <w:rFonts w:ascii="Verdana" w:eastAsia="Verdana" w:hAnsi="Verdana" w:cs="Verdana"/>
          <w:color w:val="000000"/>
          <w:sz w:val="24"/>
          <w:szCs w:val="24"/>
        </w:rPr>
      </w:pPr>
      <w:r>
        <w:rPr>
          <w:rFonts w:ascii="Verdana" w:eastAsia="Verdana" w:hAnsi="Verdana" w:cs="Verdana"/>
          <w:color w:val="000000"/>
          <w:sz w:val="24"/>
          <w:szCs w:val="24"/>
        </w:rPr>
        <w:t>En este sentido, el Comité dispuso que el Estado de Chile debe desplegar acciones tendientes a fortalecer</w:t>
      </w:r>
      <w:r w:rsidRPr="007932A4">
        <w:rPr>
          <w:rFonts w:ascii="Verdana" w:eastAsia="Verdana" w:hAnsi="Verdana" w:cs="Verdana"/>
          <w:color w:val="000000"/>
          <w:sz w:val="24"/>
          <w:szCs w:val="24"/>
        </w:rPr>
        <w:t xml:space="preserve"> la promoción de los derechos </w:t>
      </w:r>
      <w:r>
        <w:rPr>
          <w:rFonts w:ascii="Verdana" w:eastAsia="Verdana" w:hAnsi="Verdana" w:cs="Verdana"/>
          <w:color w:val="000000"/>
          <w:sz w:val="24"/>
          <w:szCs w:val="24"/>
        </w:rPr>
        <w:t xml:space="preserve">sexuales y reproductivos </w:t>
      </w:r>
      <w:r w:rsidRPr="007932A4">
        <w:rPr>
          <w:rFonts w:ascii="Verdana" w:eastAsia="Verdana" w:hAnsi="Verdana" w:cs="Verdana"/>
          <w:color w:val="000000"/>
          <w:sz w:val="24"/>
          <w:szCs w:val="24"/>
        </w:rPr>
        <w:t xml:space="preserve">de las personas con discapacidad, bajo los principios de igualdad y </w:t>
      </w:r>
      <w:r w:rsidRPr="007932A4">
        <w:rPr>
          <w:rFonts w:ascii="Verdana" w:eastAsia="Verdana" w:hAnsi="Verdana" w:cs="Verdana"/>
          <w:color w:val="000000"/>
          <w:sz w:val="24"/>
          <w:szCs w:val="24"/>
        </w:rPr>
        <w:lastRenderedPageBreak/>
        <w:t>no discriminación, con enfoque de derechos humanos</w:t>
      </w:r>
      <w:r w:rsidR="0080743B">
        <w:rPr>
          <w:rFonts w:ascii="Verdana" w:eastAsia="Verdana" w:hAnsi="Verdana" w:cs="Verdana"/>
          <w:color w:val="000000"/>
          <w:sz w:val="24"/>
          <w:szCs w:val="24"/>
        </w:rPr>
        <w:t>.</w:t>
      </w:r>
    </w:p>
    <w:p w:rsidR="00CA512A" w:rsidRDefault="0080743B" w:rsidP="004E3E14">
      <w:pPr>
        <w:jc w:val="both"/>
        <w:rPr>
          <w:rFonts w:ascii="Verdana" w:eastAsia="Verdana" w:hAnsi="Verdana" w:cs="Verdana"/>
          <w:color w:val="000000"/>
          <w:sz w:val="24"/>
          <w:szCs w:val="24"/>
        </w:rPr>
      </w:pPr>
      <w:r>
        <w:rPr>
          <w:rFonts w:ascii="Verdana" w:eastAsia="Verdana" w:hAnsi="Verdana" w:cs="Verdana"/>
          <w:color w:val="000000"/>
          <w:sz w:val="24"/>
          <w:szCs w:val="24"/>
        </w:rPr>
        <w:t xml:space="preserve">A partir de ello, </w:t>
      </w:r>
      <w:r w:rsidR="00CA512A">
        <w:rPr>
          <w:rFonts w:ascii="Verdana" w:eastAsia="Verdana" w:hAnsi="Verdana" w:cs="Verdana"/>
          <w:color w:val="000000"/>
          <w:sz w:val="24"/>
          <w:szCs w:val="24"/>
        </w:rPr>
        <w:t xml:space="preserve">queda en evidencia que </w:t>
      </w:r>
      <w:r w:rsidR="006E7BBC">
        <w:rPr>
          <w:rFonts w:ascii="Verdana" w:eastAsia="Verdana" w:hAnsi="Verdana" w:cs="Verdana"/>
          <w:color w:val="000000"/>
          <w:sz w:val="24"/>
          <w:szCs w:val="24"/>
        </w:rPr>
        <w:t>la</w:t>
      </w:r>
      <w:r w:rsidR="00CA512A">
        <w:rPr>
          <w:rFonts w:ascii="Verdana" w:eastAsia="Verdana" w:hAnsi="Verdana" w:cs="Verdana"/>
          <w:color w:val="000000"/>
          <w:sz w:val="24"/>
          <w:szCs w:val="24"/>
        </w:rPr>
        <w:t xml:space="preserve"> obligación de adecuación normativa</w:t>
      </w:r>
      <w:r>
        <w:rPr>
          <w:rFonts w:ascii="Verdana" w:eastAsia="Verdana" w:hAnsi="Verdana" w:cs="Verdana"/>
          <w:color w:val="000000"/>
          <w:sz w:val="24"/>
          <w:szCs w:val="24"/>
        </w:rPr>
        <w:t xml:space="preserve"> </w:t>
      </w:r>
      <w:r w:rsidR="006E7BBC">
        <w:rPr>
          <w:rFonts w:ascii="Verdana" w:eastAsia="Verdana" w:hAnsi="Verdana" w:cs="Verdana"/>
          <w:color w:val="000000"/>
          <w:sz w:val="24"/>
          <w:szCs w:val="24"/>
        </w:rPr>
        <w:t xml:space="preserve">se encuentra aún </w:t>
      </w:r>
      <w:r w:rsidR="00CA512A">
        <w:rPr>
          <w:rFonts w:ascii="Verdana" w:eastAsia="Verdana" w:hAnsi="Verdana" w:cs="Verdana"/>
          <w:color w:val="000000"/>
          <w:sz w:val="24"/>
          <w:szCs w:val="24"/>
        </w:rPr>
        <w:t xml:space="preserve">pendiente </w:t>
      </w:r>
      <w:r w:rsidR="006E7BBC">
        <w:rPr>
          <w:rFonts w:ascii="Verdana" w:eastAsia="Verdana" w:hAnsi="Verdana" w:cs="Verdana"/>
          <w:color w:val="000000"/>
          <w:sz w:val="24"/>
          <w:szCs w:val="24"/>
        </w:rPr>
        <w:t xml:space="preserve">en </w:t>
      </w:r>
      <w:r w:rsidR="00CA512A">
        <w:rPr>
          <w:rFonts w:ascii="Verdana" w:eastAsia="Verdana" w:hAnsi="Verdana" w:cs="Verdana"/>
          <w:color w:val="000000"/>
          <w:sz w:val="24"/>
          <w:szCs w:val="24"/>
        </w:rPr>
        <w:t>ciertas áreas</w:t>
      </w:r>
      <w:r w:rsidR="006E7BBC">
        <w:rPr>
          <w:rFonts w:ascii="Verdana" w:eastAsia="Verdana" w:hAnsi="Verdana" w:cs="Verdana"/>
          <w:color w:val="000000"/>
          <w:sz w:val="24"/>
          <w:szCs w:val="24"/>
        </w:rPr>
        <w:t xml:space="preserve">, tales como el </w:t>
      </w:r>
      <w:r w:rsidR="00E83F60">
        <w:rPr>
          <w:rFonts w:ascii="Verdana" w:eastAsia="Verdana" w:hAnsi="Verdana" w:cs="Verdana"/>
          <w:color w:val="000000"/>
          <w:sz w:val="24"/>
          <w:szCs w:val="24"/>
        </w:rPr>
        <w:t>consentimiento</w:t>
      </w:r>
      <w:r w:rsidR="00CA512A">
        <w:rPr>
          <w:rFonts w:ascii="Verdana" w:eastAsia="Verdana" w:hAnsi="Verdana" w:cs="Verdana"/>
          <w:color w:val="000000"/>
          <w:sz w:val="24"/>
          <w:szCs w:val="24"/>
        </w:rPr>
        <w:t xml:space="preserve"> informado, </w:t>
      </w:r>
      <w:r w:rsidR="006E7BBC">
        <w:rPr>
          <w:rFonts w:ascii="Verdana" w:eastAsia="Verdana" w:hAnsi="Verdana" w:cs="Verdana"/>
          <w:color w:val="000000"/>
          <w:sz w:val="24"/>
          <w:szCs w:val="24"/>
        </w:rPr>
        <w:t xml:space="preserve">debiendo </w:t>
      </w:r>
      <w:r w:rsidR="00CA512A">
        <w:rPr>
          <w:rFonts w:ascii="Verdana" w:eastAsia="Verdana" w:hAnsi="Verdana" w:cs="Verdana"/>
          <w:color w:val="000000"/>
          <w:sz w:val="24"/>
          <w:szCs w:val="24"/>
        </w:rPr>
        <w:t>avanzar</w:t>
      </w:r>
      <w:r w:rsidR="006E7BBC">
        <w:rPr>
          <w:rFonts w:ascii="Verdana" w:eastAsia="Verdana" w:hAnsi="Verdana" w:cs="Verdana"/>
          <w:color w:val="000000"/>
          <w:sz w:val="24"/>
          <w:szCs w:val="24"/>
        </w:rPr>
        <w:t>se principalmente</w:t>
      </w:r>
      <w:r w:rsidR="00CA512A">
        <w:rPr>
          <w:rFonts w:ascii="Verdana" w:eastAsia="Verdana" w:hAnsi="Verdana" w:cs="Verdana"/>
          <w:color w:val="000000"/>
          <w:sz w:val="24"/>
          <w:szCs w:val="24"/>
        </w:rPr>
        <w:t xml:space="preserve"> en la derogación del sistema de sustitución de la</w:t>
      </w:r>
      <w:r w:rsidR="006E7BBC">
        <w:rPr>
          <w:rFonts w:ascii="Verdana" w:eastAsia="Verdana" w:hAnsi="Verdana" w:cs="Verdana"/>
          <w:color w:val="000000"/>
          <w:sz w:val="24"/>
          <w:szCs w:val="24"/>
        </w:rPr>
        <w:t xml:space="preserve"> </w:t>
      </w:r>
      <w:r w:rsidR="00CA512A">
        <w:rPr>
          <w:rFonts w:ascii="Verdana" w:eastAsia="Verdana" w:hAnsi="Verdana" w:cs="Verdana"/>
          <w:color w:val="000000"/>
          <w:sz w:val="24"/>
          <w:szCs w:val="24"/>
        </w:rPr>
        <w:t>voluntad</w:t>
      </w:r>
      <w:r w:rsidR="006E7BBC">
        <w:rPr>
          <w:rFonts w:ascii="Verdana" w:eastAsia="Verdana" w:hAnsi="Verdana" w:cs="Verdana"/>
          <w:color w:val="000000"/>
          <w:sz w:val="24"/>
          <w:szCs w:val="24"/>
        </w:rPr>
        <w:t xml:space="preserve"> (interdicción)</w:t>
      </w:r>
      <w:r w:rsidR="00CA512A">
        <w:rPr>
          <w:rFonts w:ascii="Verdana" w:eastAsia="Verdana" w:hAnsi="Verdana" w:cs="Verdana"/>
          <w:color w:val="000000"/>
          <w:sz w:val="24"/>
          <w:szCs w:val="24"/>
        </w:rPr>
        <w:t xml:space="preserve"> para pasar a un sistema de apoyo en la toma de decisiones con apoyos y salvaguardias.</w:t>
      </w:r>
    </w:p>
    <w:p w:rsidR="00CA512A" w:rsidRDefault="0080743B" w:rsidP="004E3E14">
      <w:pPr>
        <w:jc w:val="both"/>
        <w:rPr>
          <w:rFonts w:ascii="Verdana" w:eastAsia="Verdana" w:hAnsi="Verdana" w:cs="Verdana"/>
          <w:color w:val="000000"/>
          <w:sz w:val="24"/>
          <w:szCs w:val="24"/>
        </w:rPr>
      </w:pPr>
      <w:r>
        <w:rPr>
          <w:rFonts w:ascii="Verdana" w:eastAsia="Verdana" w:hAnsi="Verdana" w:cs="Verdana"/>
          <w:color w:val="000000"/>
          <w:sz w:val="24"/>
          <w:szCs w:val="24"/>
        </w:rPr>
        <w:t xml:space="preserve">Lo anterior, como un presupuesto básico para garantizar el adecuado cumplimiento de los estándares existentes en nuestro derecho interno en materia de esterilización, y que </w:t>
      </w:r>
      <w:r w:rsidR="00CA512A">
        <w:rPr>
          <w:rFonts w:ascii="Verdana" w:eastAsia="Verdana" w:hAnsi="Verdana" w:cs="Verdana"/>
          <w:color w:val="000000"/>
          <w:sz w:val="24"/>
          <w:szCs w:val="24"/>
        </w:rPr>
        <w:t>son:</w:t>
      </w:r>
    </w:p>
    <w:p w:rsidR="00CA512A" w:rsidRDefault="00CA512A" w:rsidP="00CA512A">
      <w:pPr>
        <w:pStyle w:val="Prrafodelista"/>
        <w:numPr>
          <w:ilvl w:val="0"/>
          <w:numId w:val="1"/>
        </w:numPr>
        <w:jc w:val="both"/>
        <w:rPr>
          <w:rFonts w:ascii="Verdana" w:eastAsia="Verdana" w:hAnsi="Verdana" w:cs="Verdana"/>
          <w:color w:val="000000"/>
          <w:sz w:val="24"/>
          <w:szCs w:val="24"/>
        </w:rPr>
      </w:pPr>
      <w:r>
        <w:rPr>
          <w:rFonts w:ascii="Verdana" w:eastAsia="Verdana" w:hAnsi="Verdana" w:cs="Verdana"/>
          <w:color w:val="000000"/>
          <w:sz w:val="24"/>
          <w:szCs w:val="24"/>
        </w:rPr>
        <w:t>Prohibición absoluta de esterilización en niños, niñas y adolescentes</w:t>
      </w:r>
      <w:r w:rsidR="007932A4">
        <w:rPr>
          <w:rFonts w:ascii="Verdana" w:eastAsia="Verdana" w:hAnsi="Verdana" w:cs="Verdana"/>
          <w:color w:val="000000"/>
          <w:sz w:val="24"/>
          <w:szCs w:val="24"/>
        </w:rPr>
        <w:t>.</w:t>
      </w:r>
    </w:p>
    <w:p w:rsidR="0080743B" w:rsidRDefault="007932A4" w:rsidP="002B79EE">
      <w:pPr>
        <w:pStyle w:val="Prrafodelista"/>
        <w:numPr>
          <w:ilvl w:val="0"/>
          <w:numId w:val="1"/>
        </w:numPr>
        <w:jc w:val="both"/>
        <w:rPr>
          <w:rFonts w:ascii="Verdana" w:eastAsia="Verdana" w:hAnsi="Verdana" w:cs="Verdana"/>
          <w:color w:val="000000"/>
          <w:sz w:val="24"/>
          <w:szCs w:val="24"/>
        </w:rPr>
      </w:pPr>
      <w:r>
        <w:rPr>
          <w:rFonts w:ascii="Verdana" w:eastAsia="Verdana" w:hAnsi="Verdana" w:cs="Verdana"/>
          <w:color w:val="000000"/>
          <w:sz w:val="24"/>
          <w:szCs w:val="24"/>
        </w:rPr>
        <w:t>Prohibición relativa de e</w:t>
      </w:r>
      <w:r w:rsidR="00CA512A">
        <w:rPr>
          <w:rFonts w:ascii="Verdana" w:eastAsia="Verdana" w:hAnsi="Verdana" w:cs="Verdana"/>
          <w:color w:val="000000"/>
          <w:sz w:val="24"/>
          <w:szCs w:val="24"/>
        </w:rPr>
        <w:t>sterilización en adultos</w:t>
      </w:r>
      <w:r>
        <w:rPr>
          <w:rFonts w:ascii="Verdana" w:eastAsia="Verdana" w:hAnsi="Verdana" w:cs="Verdana"/>
          <w:color w:val="000000"/>
          <w:sz w:val="24"/>
          <w:szCs w:val="24"/>
        </w:rPr>
        <w:t>, ya que la misma</w:t>
      </w:r>
      <w:r w:rsidR="00CA512A">
        <w:rPr>
          <w:rFonts w:ascii="Verdana" w:eastAsia="Verdana" w:hAnsi="Verdana" w:cs="Verdana"/>
          <w:color w:val="000000"/>
          <w:sz w:val="24"/>
          <w:szCs w:val="24"/>
        </w:rPr>
        <w:t xml:space="preserve"> es p</w:t>
      </w:r>
      <w:r>
        <w:rPr>
          <w:rFonts w:ascii="Verdana" w:eastAsia="Verdana" w:hAnsi="Verdana" w:cs="Verdana"/>
          <w:color w:val="000000"/>
          <w:sz w:val="24"/>
          <w:szCs w:val="24"/>
        </w:rPr>
        <w:t xml:space="preserve">rocedente </w:t>
      </w:r>
      <w:r w:rsidR="00CA512A">
        <w:rPr>
          <w:rFonts w:ascii="Verdana" w:eastAsia="Verdana" w:hAnsi="Verdana" w:cs="Verdana"/>
          <w:color w:val="000000"/>
          <w:sz w:val="24"/>
          <w:szCs w:val="24"/>
        </w:rPr>
        <w:t xml:space="preserve">siempre que </w:t>
      </w:r>
      <w:r>
        <w:rPr>
          <w:rFonts w:ascii="Verdana" w:eastAsia="Verdana" w:hAnsi="Verdana" w:cs="Verdana"/>
          <w:color w:val="000000"/>
          <w:sz w:val="24"/>
          <w:szCs w:val="24"/>
        </w:rPr>
        <w:t>se obtenga</w:t>
      </w:r>
      <w:r w:rsidR="00CA512A">
        <w:rPr>
          <w:rFonts w:ascii="Verdana" w:eastAsia="Verdana" w:hAnsi="Verdana" w:cs="Verdana"/>
          <w:color w:val="000000"/>
          <w:sz w:val="24"/>
          <w:szCs w:val="24"/>
        </w:rPr>
        <w:t xml:space="preserve"> el consentimiento </w:t>
      </w:r>
      <w:r w:rsidR="002B79EE">
        <w:rPr>
          <w:rFonts w:ascii="Verdana" w:eastAsia="Verdana" w:hAnsi="Verdana" w:cs="Verdana"/>
          <w:color w:val="000000"/>
          <w:sz w:val="24"/>
          <w:szCs w:val="24"/>
        </w:rPr>
        <w:t xml:space="preserve">libre e </w:t>
      </w:r>
      <w:r w:rsidR="00CA512A">
        <w:rPr>
          <w:rFonts w:ascii="Verdana" w:eastAsia="Verdana" w:hAnsi="Verdana" w:cs="Verdana"/>
          <w:color w:val="000000"/>
          <w:sz w:val="24"/>
          <w:szCs w:val="24"/>
        </w:rPr>
        <w:t>informado de la persona</w:t>
      </w:r>
      <w:r>
        <w:rPr>
          <w:rFonts w:ascii="Verdana" w:eastAsia="Verdana" w:hAnsi="Verdana" w:cs="Verdana"/>
          <w:color w:val="000000"/>
          <w:sz w:val="24"/>
          <w:szCs w:val="24"/>
        </w:rPr>
        <w:t xml:space="preserve"> sujeta a dicho procedimiento</w:t>
      </w:r>
      <w:r w:rsidR="00CA512A">
        <w:rPr>
          <w:rFonts w:ascii="Verdana" w:eastAsia="Verdana" w:hAnsi="Verdana" w:cs="Verdana"/>
          <w:color w:val="000000"/>
          <w:sz w:val="24"/>
          <w:szCs w:val="24"/>
        </w:rPr>
        <w:t>.</w:t>
      </w:r>
    </w:p>
    <w:p w:rsidR="002B79EE" w:rsidRPr="0080743B" w:rsidRDefault="0080743B" w:rsidP="002B79EE">
      <w:pPr>
        <w:pStyle w:val="Prrafodelista"/>
        <w:numPr>
          <w:ilvl w:val="0"/>
          <w:numId w:val="1"/>
        </w:numPr>
        <w:jc w:val="both"/>
        <w:rPr>
          <w:rFonts w:ascii="Verdana" w:eastAsia="Verdana" w:hAnsi="Verdana" w:cs="Verdana"/>
          <w:color w:val="000000"/>
          <w:sz w:val="24"/>
          <w:szCs w:val="24"/>
        </w:rPr>
      </w:pPr>
      <w:r>
        <w:rPr>
          <w:rFonts w:ascii="Verdana" w:eastAsia="Verdana" w:hAnsi="Verdana" w:cs="Verdana"/>
          <w:color w:val="000000"/>
          <w:sz w:val="24"/>
          <w:szCs w:val="24"/>
        </w:rPr>
        <w:t>Se podrá</w:t>
      </w:r>
      <w:r w:rsidR="006745DF">
        <w:rPr>
          <w:rFonts w:ascii="Verdana" w:eastAsia="Verdana" w:hAnsi="Verdana" w:cs="Verdana"/>
          <w:color w:val="000000"/>
          <w:sz w:val="24"/>
          <w:szCs w:val="24"/>
        </w:rPr>
        <w:t>,</w:t>
      </w:r>
      <w:r>
        <w:rPr>
          <w:rFonts w:ascii="Verdana" w:eastAsia="Verdana" w:hAnsi="Verdana" w:cs="Verdana"/>
          <w:color w:val="000000"/>
          <w:sz w:val="24"/>
          <w:szCs w:val="24"/>
        </w:rPr>
        <w:t xml:space="preserve"> </w:t>
      </w:r>
      <w:bookmarkStart w:id="0" w:name="_GoBack"/>
      <w:bookmarkEnd w:id="0"/>
      <w:r w:rsidR="002B79EE" w:rsidRPr="0080743B">
        <w:rPr>
          <w:rFonts w:ascii="Verdana" w:eastAsia="Verdana" w:hAnsi="Verdana" w:cs="Verdana"/>
          <w:color w:val="000000"/>
          <w:sz w:val="24"/>
          <w:szCs w:val="24"/>
        </w:rPr>
        <w:t>excepcionalmente</w:t>
      </w:r>
      <w:r w:rsidR="006745DF">
        <w:rPr>
          <w:rFonts w:ascii="Verdana" w:eastAsia="Verdana" w:hAnsi="Verdana" w:cs="Verdana"/>
          <w:color w:val="000000"/>
          <w:sz w:val="24"/>
          <w:szCs w:val="24"/>
        </w:rPr>
        <w:t xml:space="preserve">, </w:t>
      </w:r>
      <w:r w:rsidR="002B79EE" w:rsidRPr="0080743B">
        <w:rPr>
          <w:rFonts w:ascii="Verdana" w:eastAsia="Verdana" w:hAnsi="Verdana" w:cs="Verdana"/>
          <w:color w:val="000000"/>
          <w:sz w:val="24"/>
          <w:szCs w:val="24"/>
        </w:rPr>
        <w:t xml:space="preserve">realizar una esterilización quirúrgica en </w:t>
      </w:r>
      <w:r w:rsidR="007932A4" w:rsidRPr="0080743B">
        <w:rPr>
          <w:rFonts w:ascii="Verdana" w:eastAsia="Verdana" w:hAnsi="Verdana" w:cs="Verdana"/>
          <w:color w:val="000000"/>
          <w:sz w:val="24"/>
          <w:szCs w:val="24"/>
        </w:rPr>
        <w:t xml:space="preserve">una </w:t>
      </w:r>
      <w:r w:rsidR="002B79EE" w:rsidRPr="0080743B">
        <w:rPr>
          <w:rFonts w:ascii="Verdana" w:eastAsia="Verdana" w:hAnsi="Verdana" w:cs="Verdana"/>
          <w:color w:val="000000"/>
          <w:sz w:val="24"/>
          <w:szCs w:val="24"/>
        </w:rPr>
        <w:t xml:space="preserve">persona que no puede manifestar </w:t>
      </w:r>
      <w:r w:rsidR="002B79EE" w:rsidRPr="0080743B">
        <w:rPr>
          <w:rFonts w:ascii="Verdana" w:eastAsia="Verdana" w:hAnsi="Verdana" w:cs="Verdana"/>
          <w:color w:val="000000"/>
          <w:sz w:val="24"/>
          <w:szCs w:val="24"/>
        </w:rPr>
        <w:lastRenderedPageBreak/>
        <w:t>su voluntad o preferencia</w:t>
      </w:r>
      <w:r w:rsidR="007932A4" w:rsidRPr="0080743B">
        <w:rPr>
          <w:rFonts w:ascii="Verdana" w:eastAsia="Verdana" w:hAnsi="Verdana" w:cs="Verdana"/>
          <w:color w:val="000000"/>
          <w:sz w:val="24"/>
          <w:szCs w:val="24"/>
        </w:rPr>
        <w:t>,</w:t>
      </w:r>
      <w:r w:rsidR="002B79EE" w:rsidRPr="0080743B">
        <w:rPr>
          <w:rFonts w:ascii="Verdana" w:eastAsia="Verdana" w:hAnsi="Verdana" w:cs="Verdana"/>
          <w:color w:val="000000"/>
          <w:sz w:val="24"/>
          <w:szCs w:val="24"/>
        </w:rPr>
        <w:t xml:space="preserve"> cumpliendo, entre otros requisitos, </w:t>
      </w:r>
      <w:r w:rsidR="007932A4" w:rsidRPr="0080743B">
        <w:rPr>
          <w:rFonts w:ascii="Verdana" w:eastAsia="Verdana" w:hAnsi="Verdana" w:cs="Verdana"/>
          <w:color w:val="000000"/>
          <w:sz w:val="24"/>
          <w:szCs w:val="24"/>
        </w:rPr>
        <w:t xml:space="preserve">el </w:t>
      </w:r>
      <w:r w:rsidR="002B79EE" w:rsidRPr="0080743B">
        <w:rPr>
          <w:rFonts w:ascii="Verdana" w:eastAsia="Verdana" w:hAnsi="Verdana" w:cs="Verdana"/>
          <w:color w:val="000000"/>
          <w:sz w:val="24"/>
          <w:szCs w:val="24"/>
        </w:rPr>
        <w:t xml:space="preserve">que </w:t>
      </w:r>
      <w:r w:rsidR="007932A4" w:rsidRPr="0080743B">
        <w:rPr>
          <w:rFonts w:ascii="Verdana" w:eastAsia="Verdana" w:hAnsi="Verdana" w:cs="Verdana"/>
          <w:color w:val="000000"/>
          <w:sz w:val="24"/>
          <w:szCs w:val="24"/>
        </w:rPr>
        <w:t xml:space="preserve">dicho procedimiento </w:t>
      </w:r>
      <w:r w:rsidR="002B79EE" w:rsidRPr="0080743B">
        <w:rPr>
          <w:rFonts w:ascii="Verdana" w:eastAsia="Verdana" w:hAnsi="Verdana" w:cs="Verdana"/>
          <w:color w:val="000000"/>
          <w:sz w:val="24"/>
          <w:szCs w:val="24"/>
        </w:rPr>
        <w:t>obedezca a indicación médica fundada en razones de la misma índole.</w:t>
      </w:r>
    </w:p>
    <w:p w:rsidR="002B79EE" w:rsidRPr="002B79EE" w:rsidRDefault="002B79EE" w:rsidP="007932A4">
      <w:pPr>
        <w:jc w:val="both"/>
        <w:rPr>
          <w:rFonts w:ascii="Verdana" w:eastAsia="Verdana" w:hAnsi="Verdana" w:cs="Verdana"/>
          <w:color w:val="000000"/>
          <w:sz w:val="24"/>
          <w:szCs w:val="24"/>
        </w:rPr>
      </w:pPr>
    </w:p>
    <w:sectPr w:rsidR="002B79EE" w:rsidRPr="002B79EE" w:rsidSect="00744759">
      <w:headerReference w:type="default" r:id="rId8"/>
      <w:footerReference w:type="default" r:id="rId9"/>
      <w:pgSz w:w="11906" w:h="16838"/>
      <w:pgMar w:top="2410" w:right="1701" w:bottom="1417" w:left="1701" w:header="708" w:footer="708"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66658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676" w:rsidRDefault="006A2676" w:rsidP="00744759">
      <w:pPr>
        <w:spacing w:after="0" w:line="240" w:lineRule="auto"/>
      </w:pPr>
      <w:r>
        <w:separator/>
      </w:r>
    </w:p>
  </w:endnote>
  <w:endnote w:type="continuationSeparator" w:id="0">
    <w:p w:rsidR="006A2676" w:rsidRDefault="006A2676" w:rsidP="00744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9EE" w:rsidRPr="00537B37" w:rsidRDefault="003F0113" w:rsidP="00537B37">
    <w:pPr>
      <w:pStyle w:val="Piedepgina"/>
      <w:jc w:val="center"/>
      <w:rPr>
        <w:lang w:val="es-CL"/>
      </w:rPr>
    </w:pPr>
    <w:r w:rsidRPr="003F0113">
      <w:rPr>
        <w:noProof/>
        <w:lang w:val="es-CL" w:eastAsia="es-CL"/>
      </w:rPr>
      <w:pict>
        <v:line id="Conector recto 2" o:spid="_x0000_s409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pt,-7.05pt" to="463.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" strokecolor="black [3200]" strokeweight=".5pt">
          <v:stroke joinstyle="miter"/>
          <o:lock v:ext="edit" shapetype="f"/>
        </v:line>
      </w:pict>
    </w:r>
    <w:r w:rsidR="002B79EE">
      <w:rPr>
        <w:lang w:val="es-CL"/>
      </w:rPr>
      <w:t>Departamento de Defensoría de la Inclusión| SENADIS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676" w:rsidRDefault="006A2676" w:rsidP="00744759">
      <w:pPr>
        <w:spacing w:after="0" w:line="240" w:lineRule="auto"/>
      </w:pPr>
      <w:r>
        <w:separator/>
      </w:r>
    </w:p>
  </w:footnote>
  <w:footnote w:type="continuationSeparator" w:id="0">
    <w:p w:rsidR="006A2676" w:rsidRDefault="006A2676" w:rsidP="00744759">
      <w:pPr>
        <w:spacing w:after="0" w:line="240" w:lineRule="auto"/>
      </w:pPr>
      <w:r>
        <w:continuationSeparator/>
      </w:r>
    </w:p>
  </w:footnote>
  <w:footnote w:id="1">
    <w:p w:rsidR="002B79EE" w:rsidRPr="00C60FD0" w:rsidRDefault="002B79EE" w:rsidP="004E3E14">
      <w:pPr>
        <w:pStyle w:val="Textonotapie"/>
        <w:jc w:val="both"/>
        <w:rPr>
          <w:lang w:val="en-US"/>
        </w:rPr>
      </w:pPr>
      <w:r>
        <w:rPr>
          <w:rStyle w:val="Refdenotaalpie"/>
        </w:rPr>
        <w:footnoteRef/>
      </w:r>
      <w:r>
        <w:t xml:space="preserve"> Comité sobre los Derechos de las Personas con Discapacidad, ONU (2016), </w:t>
      </w:r>
      <w:r w:rsidRPr="00355FC2">
        <w:rPr>
          <w:i/>
          <w:lang w:val="es-ES"/>
        </w:rPr>
        <w:t>Observación General No.3, sobre las mujeres y las niñas con discapacidad,</w:t>
      </w:r>
      <w:r>
        <w:rPr>
          <w:lang w:val="es-ES"/>
        </w:rPr>
        <w:t xml:space="preserve"> párr. </w:t>
      </w:r>
      <w:r w:rsidRPr="00C60FD0">
        <w:rPr>
          <w:lang w:val="en-US"/>
        </w:rPr>
        <w:t>30</w:t>
      </w:r>
      <w:r w:rsidR="005C2A0F">
        <w:rPr>
          <w:lang w:val="en-US"/>
        </w:rPr>
        <w:t>.</w:t>
      </w:r>
    </w:p>
  </w:footnote>
  <w:footnote w:id="2">
    <w:p w:rsidR="002B79EE" w:rsidRPr="009E649B" w:rsidRDefault="002B79EE" w:rsidP="004E3E14">
      <w:pPr>
        <w:pStyle w:val="Textonotapie"/>
        <w:jc w:val="both"/>
        <w:rPr>
          <w:lang w:val="es-ES"/>
        </w:rPr>
      </w:pPr>
      <w:r>
        <w:rPr>
          <w:rStyle w:val="Refdenotaalpie"/>
        </w:rPr>
        <w:footnoteRef/>
      </w:r>
      <w:r w:rsidRPr="006B579F">
        <w:rPr>
          <w:lang w:val="en-US"/>
        </w:rPr>
        <w:t xml:space="preserve"> </w:t>
      </w:r>
      <w:r>
        <w:rPr>
          <w:lang w:val="en-US"/>
        </w:rPr>
        <w:t>General Assembly, United Nations (2012)</w:t>
      </w:r>
      <w:r w:rsidRPr="006B579F">
        <w:rPr>
          <w:lang w:val="en-US"/>
        </w:rPr>
        <w:t xml:space="preserve">; </w:t>
      </w:r>
      <w:r w:rsidRPr="006B579F">
        <w:rPr>
          <w:i/>
          <w:lang w:val="en-US"/>
        </w:rPr>
        <w:t>Report of the Special Rapporteur on v</w:t>
      </w:r>
      <w:r>
        <w:rPr>
          <w:i/>
          <w:lang w:val="en-US"/>
        </w:rPr>
        <w:t>iolence against woman, its cause</w:t>
      </w:r>
      <w:r w:rsidRPr="006B579F">
        <w:rPr>
          <w:i/>
          <w:lang w:val="en-US"/>
        </w:rPr>
        <w:t xml:space="preserve">s and consequences; </w:t>
      </w:r>
      <w:r>
        <w:rPr>
          <w:lang w:val="en-US"/>
        </w:rPr>
        <w:t>p</w:t>
      </w:r>
      <w:r w:rsidRPr="006B579F">
        <w:rPr>
          <w:lang w:val="en-US"/>
        </w:rPr>
        <w:t xml:space="preserve">árr. </w:t>
      </w:r>
      <w:r w:rsidRPr="009E649B">
        <w:rPr>
          <w:lang w:val="es-ES"/>
        </w:rPr>
        <w:t>28</w:t>
      </w:r>
      <w:r w:rsidR="005C2A0F">
        <w:rPr>
          <w:lang w:val="es-ES"/>
        </w:rPr>
        <w:t>.</w:t>
      </w:r>
    </w:p>
  </w:footnote>
  <w:footnote w:id="3">
    <w:p w:rsidR="002B79EE" w:rsidRPr="001A1AB8" w:rsidRDefault="002B79EE" w:rsidP="004E3E14">
      <w:pPr>
        <w:pStyle w:val="Textonotapie"/>
        <w:jc w:val="both"/>
        <w:rPr>
          <w:lang w:val="es-ES"/>
        </w:rPr>
      </w:pPr>
      <w:r>
        <w:rPr>
          <w:rStyle w:val="Refdenotaalpie"/>
        </w:rPr>
        <w:footnoteRef/>
      </w:r>
      <w:r>
        <w:t xml:space="preserve"> </w:t>
      </w:r>
      <w:r w:rsidRPr="00243D0E">
        <w:t>Comité sobre los Derechos del Niño</w:t>
      </w:r>
      <w:r>
        <w:t xml:space="preserve">, </w:t>
      </w:r>
      <w:r w:rsidRPr="00243D0E">
        <w:t>ONU</w:t>
      </w:r>
      <w:r>
        <w:t xml:space="preserve"> (2007)</w:t>
      </w:r>
      <w:r w:rsidRPr="00243D0E">
        <w:t>,</w:t>
      </w:r>
      <w:r w:rsidRPr="00355FC2">
        <w:rPr>
          <w:i/>
        </w:rPr>
        <w:t xml:space="preserve"> Observación General No. 9 sobre los derechos de los niños con discapacidad</w:t>
      </w:r>
      <w:r w:rsidRPr="00243D0E">
        <w:t>, párr. 60</w:t>
      </w:r>
      <w:r w:rsidR="005C2A0F">
        <w:t>.</w:t>
      </w:r>
    </w:p>
  </w:footnote>
  <w:footnote w:id="4">
    <w:p w:rsidR="002B79EE" w:rsidRPr="009345BE" w:rsidRDefault="002B79EE" w:rsidP="004E3E14">
      <w:pPr>
        <w:pStyle w:val="Textonotapie"/>
        <w:jc w:val="both"/>
        <w:rPr>
          <w:lang w:val="es-ES"/>
        </w:rPr>
      </w:pPr>
      <w:r>
        <w:rPr>
          <w:rStyle w:val="Refdenotaalpie"/>
        </w:rPr>
        <w:footnoteRef/>
      </w:r>
      <w:r>
        <w:t xml:space="preserve"> Comité sobre los Derechos de las Personas con Discapacidad, ONU (2014), </w:t>
      </w:r>
      <w:r w:rsidRPr="00355FC2">
        <w:rPr>
          <w:i/>
        </w:rPr>
        <w:t>Observación General No.1, artículo 12: Igual reconocimiento como persona ante la ley</w:t>
      </w:r>
      <w:r>
        <w:t xml:space="preserve">, </w:t>
      </w:r>
      <w:r>
        <w:rPr>
          <w:lang w:val="es-ES"/>
        </w:rPr>
        <w:t>Párr. 35</w:t>
      </w:r>
      <w:r w:rsidR="005C2A0F">
        <w:rPr>
          <w:lang w:val="es-ES"/>
        </w:rPr>
        <w:t>.</w:t>
      </w:r>
    </w:p>
  </w:footnote>
  <w:footnote w:id="5">
    <w:p w:rsidR="002B79EE" w:rsidRPr="00460DBF" w:rsidRDefault="002B79EE" w:rsidP="004E3E14">
      <w:pPr>
        <w:pStyle w:val="Textonotapie"/>
        <w:jc w:val="both"/>
        <w:rPr>
          <w:lang w:val="es-ES"/>
        </w:rPr>
      </w:pPr>
      <w:r>
        <w:rPr>
          <w:rStyle w:val="Refdenotaalpie"/>
        </w:rPr>
        <w:footnoteRef/>
      </w:r>
      <w:r>
        <w:t xml:space="preserve"> Comité sobre los Derechos de las Personas con Discapacidad, ONU (2016), </w:t>
      </w:r>
      <w:r w:rsidRPr="00355FC2">
        <w:rPr>
          <w:i/>
          <w:lang w:val="es-ES"/>
        </w:rPr>
        <w:t>Observación General No.3, sobre las mujeres y las niñas con discapacidad</w:t>
      </w:r>
      <w:r>
        <w:rPr>
          <w:lang w:val="es-ES"/>
        </w:rPr>
        <w:t>, párr. 32</w:t>
      </w:r>
      <w:r w:rsidR="005C2A0F">
        <w:rPr>
          <w:lang w:val="es-ES"/>
        </w:rPr>
        <w:t>.</w:t>
      </w:r>
    </w:p>
  </w:footnote>
  <w:footnote w:id="6">
    <w:p w:rsidR="002B79EE" w:rsidRPr="001A1AB8" w:rsidRDefault="002B79EE" w:rsidP="004E3E14">
      <w:pPr>
        <w:pStyle w:val="Textonotapie"/>
        <w:jc w:val="both"/>
        <w:rPr>
          <w:lang w:val="es-ES"/>
        </w:rPr>
      </w:pPr>
      <w:r>
        <w:rPr>
          <w:rStyle w:val="Refdenotaalpie"/>
        </w:rPr>
        <w:footnoteRef/>
      </w:r>
      <w:r>
        <w:t xml:space="preserve"> Comité sobre los Derechos de las Personas con Discapacidad, ONU (2014), </w:t>
      </w:r>
      <w:r w:rsidRPr="00355FC2">
        <w:rPr>
          <w:i/>
        </w:rPr>
        <w:t>Observación General No.1, artículo 12: Igual reconocimiento como persona ante la ley</w:t>
      </w:r>
      <w:r>
        <w:t>,</w:t>
      </w:r>
      <w:r>
        <w:rPr>
          <w:lang w:val="es-ES"/>
        </w:rPr>
        <w:t xml:space="preserve"> párr. 42</w:t>
      </w:r>
      <w:r w:rsidR="005C2A0F">
        <w:rPr>
          <w:lang w:val="es-ES"/>
        </w:rPr>
        <w:t>.</w:t>
      </w:r>
    </w:p>
  </w:footnote>
  <w:footnote w:id="7">
    <w:p w:rsidR="00000000" w:rsidRDefault="002B79EE">
      <w:pPr>
        <w:pStyle w:val="Textonotapie"/>
        <w:jc w:val="both"/>
        <w:rPr>
          <w:lang w:val="es-ES"/>
        </w:rPr>
      </w:pPr>
      <w:r>
        <w:rPr>
          <w:rStyle w:val="Refdenotaalpie"/>
        </w:rPr>
        <w:footnoteRef/>
      </w:r>
      <w:r>
        <w:t xml:space="preserve"> </w:t>
      </w:r>
      <w:r>
        <w:rPr>
          <w:lang w:val="es-ES"/>
        </w:rPr>
        <w:t xml:space="preserve">Corte Interamericana de Derechos Humanos (2016): </w:t>
      </w:r>
      <w:r>
        <w:rPr>
          <w:i/>
          <w:lang w:val="es-ES"/>
        </w:rPr>
        <w:t xml:space="preserve">Caso I.V. Vs. Bolivia, </w:t>
      </w:r>
      <w:r>
        <w:rPr>
          <w:lang w:val="es-ES"/>
        </w:rPr>
        <w:t xml:space="preserve"> párr. 185</w:t>
      </w:r>
      <w:r w:rsidR="005C2A0F">
        <w:rPr>
          <w:lang w:val="es-ES"/>
        </w:rPr>
        <w:t>.</w:t>
      </w:r>
    </w:p>
  </w:footnote>
  <w:footnote w:id="8">
    <w:p w:rsidR="00000000" w:rsidRDefault="002B79EE">
      <w:pPr>
        <w:pStyle w:val="Textonotapie"/>
        <w:jc w:val="both"/>
        <w:rPr>
          <w:lang w:val="es-ES"/>
        </w:rPr>
      </w:pPr>
      <w:r>
        <w:rPr>
          <w:rStyle w:val="Refdenotaalpie"/>
        </w:rPr>
        <w:footnoteRef/>
      </w:r>
      <w:r>
        <w:t xml:space="preserve"> </w:t>
      </w:r>
      <w:r>
        <w:rPr>
          <w:lang w:val="es-ES"/>
        </w:rPr>
        <w:t xml:space="preserve">Corte Interamericana de Derechos Humanos (2016): </w:t>
      </w:r>
      <w:r>
        <w:rPr>
          <w:i/>
          <w:lang w:val="es-ES"/>
        </w:rPr>
        <w:t xml:space="preserve">Caso I.V. Vs. Bolivia, </w:t>
      </w:r>
      <w:r>
        <w:rPr>
          <w:lang w:val="es-ES"/>
        </w:rPr>
        <w:t xml:space="preserve"> párr. 166.</w:t>
      </w:r>
    </w:p>
  </w:footnote>
  <w:footnote w:id="9">
    <w:p w:rsidR="00000000" w:rsidRDefault="002B79EE">
      <w:pPr>
        <w:pStyle w:val="Textonotapie"/>
        <w:jc w:val="both"/>
        <w:rPr>
          <w:lang w:val="es-ES"/>
        </w:rPr>
      </w:pPr>
      <w:r>
        <w:rPr>
          <w:rStyle w:val="Refdenotaalpie"/>
        </w:rPr>
        <w:footnoteRef/>
      </w:r>
      <w:r>
        <w:t xml:space="preserve"> </w:t>
      </w:r>
      <w:r>
        <w:rPr>
          <w:lang w:val="es-ES"/>
        </w:rPr>
        <w:t xml:space="preserve">Corte Interamericana de Derechos Humanos (2016): </w:t>
      </w:r>
      <w:r>
        <w:rPr>
          <w:i/>
          <w:lang w:val="es-ES"/>
        </w:rPr>
        <w:t xml:space="preserve">Caso I.V. Vs. Bolivia, </w:t>
      </w:r>
      <w:r>
        <w:rPr>
          <w:lang w:val="es-ES"/>
        </w:rPr>
        <w:t xml:space="preserve"> párr. 155.</w:t>
      </w:r>
    </w:p>
  </w:footnote>
  <w:footnote w:id="10">
    <w:p w:rsidR="00000000" w:rsidRDefault="002B79EE">
      <w:pPr>
        <w:pStyle w:val="Textonotapie"/>
        <w:jc w:val="both"/>
        <w:rPr>
          <w:lang w:val="es-ES"/>
        </w:rPr>
      </w:pPr>
      <w:r>
        <w:rPr>
          <w:rStyle w:val="Refdenotaalpie"/>
        </w:rPr>
        <w:footnoteRef/>
      </w:r>
      <w:r>
        <w:t xml:space="preserve"> Corte Interamericana de Derechos humanos (2017): </w:t>
      </w:r>
      <w:r w:rsidRPr="003F2568">
        <w:rPr>
          <w:i/>
        </w:rPr>
        <w:t>Opinión Consultiva OC-24/17 sobre identidad de género, e igualdad y no discriminación a parejas del mismo sexo</w:t>
      </w:r>
      <w:r>
        <w:t>, p</w:t>
      </w:r>
      <w:r>
        <w:rPr>
          <w:lang w:val="es-ES"/>
        </w:rPr>
        <w:t>árr. 146</w:t>
      </w:r>
      <w:r w:rsidR="001829A9">
        <w:rPr>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9EE" w:rsidRPr="00744759" w:rsidRDefault="003F0113" w:rsidP="00744759">
    <w:pPr>
      <w:tabs>
        <w:tab w:val="center" w:pos="4252"/>
        <w:tab w:val="right" w:pos="8504"/>
      </w:tabs>
      <w:spacing w:after="0" w:line="240" w:lineRule="auto"/>
      <w:jc w:val="center"/>
      <w:rPr>
        <w:rFonts w:ascii="Calibri" w:eastAsia="Calibri" w:hAnsi="Calibri" w:cs="Times New Roman"/>
      </w:rPr>
    </w:pPr>
    <w:r w:rsidRPr="003F0113">
      <w:rPr>
        <w:rFonts w:ascii="Calibri" w:eastAsia="Calibri" w:hAnsi="Calibri" w:cs="Times New Roman"/>
        <w:noProof/>
        <w:lang w:val="es-CL" w:eastAsia="es-CL"/>
      </w:rPr>
      <w:pict>
        <v:shapetype id="_x0000_t202" coordsize="21600,21600" o:spt="202" path="m,l,21600r21600,l21600,xe">
          <v:stroke joinstyle="miter"/>
          <v:path gradientshapeok="t" o:connecttype="rect"/>
        </v:shapetype>
        <v:shape id="Cuadro de texto 3" o:spid="_x0000_s4098" type="#_x0000_t202" style="position:absolute;left:0;text-align:left;margin-left:754.8pt;margin-top:-3.9pt;width:423pt;height:3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" fillcolor="#1f4e79" strokeweight=".5pt">
          <v:path arrowok="t"/>
          <v:textbox>
            <w:txbxContent>
              <w:p w:rsidR="002B79EE" w:rsidRPr="00744759" w:rsidRDefault="002B79EE" w:rsidP="00744759">
                <w:pPr>
                  <w:jc w:val="center"/>
                  <w:rPr>
                    <w:b/>
                    <w:color w:val="FFFFFF"/>
                    <w:spacing w:val="120"/>
                    <w:sz w:val="40"/>
                    <w:szCs w:val="40"/>
                    <w:lang w:val="es-CL"/>
                  </w:rPr>
                </w:pPr>
                <w:r w:rsidRPr="00744759">
                  <w:rPr>
                    <w:b/>
                    <w:color w:val="FFFFFF"/>
                    <w:spacing w:val="120"/>
                    <w:sz w:val="40"/>
                    <w:szCs w:val="40"/>
                    <w:lang w:val="es-CL"/>
                  </w:rPr>
                  <w:t>BOLETIN   INFORMATIVO</w:t>
                </w:r>
              </w:p>
              <w:p w:rsidR="002B79EE" w:rsidRPr="00744759" w:rsidRDefault="002B79EE" w:rsidP="00744759">
                <w:pPr>
                  <w:jc w:val="center"/>
                  <w:rPr>
                    <w:b/>
                    <w:color w:val="FFFFFF"/>
                    <w:spacing w:val="120"/>
                    <w:sz w:val="40"/>
                    <w:szCs w:val="40"/>
                    <w:lang w:val="es-CL"/>
                  </w:rPr>
                </w:pPr>
              </w:p>
              <w:p w:rsidR="002B79EE" w:rsidRPr="00744759" w:rsidRDefault="002B79EE" w:rsidP="00744759">
                <w:pPr>
                  <w:jc w:val="center"/>
                  <w:rPr>
                    <w:b/>
                    <w:color w:val="FFFFFF"/>
                    <w:spacing w:val="120"/>
                    <w:sz w:val="40"/>
                    <w:szCs w:val="40"/>
                    <w:lang w:val="es-CL"/>
                  </w:rPr>
                </w:pPr>
                <w:r w:rsidRPr="00744759">
                  <w:rPr>
                    <w:b/>
                    <w:color w:val="FFFFFF"/>
                    <w:spacing w:val="120"/>
                    <w:sz w:val="40"/>
                    <w:szCs w:val="40"/>
                    <w:lang w:val="es-CL"/>
                  </w:rPr>
                  <w:t xml:space="preserve">Igualdad </w:t>
                </w:r>
              </w:p>
            </w:txbxContent>
          </v:textbox>
          <w10:wrap anchorx="margin"/>
        </v:shape>
      </w:pict>
    </w:r>
    <w:r w:rsidR="002B79EE" w:rsidRPr="00744759">
      <w:rPr>
        <w:rFonts w:ascii="Calibri" w:eastAsia="Calibri" w:hAnsi="Calibri" w:cs="Times New Roman"/>
      </w:rPr>
      <w:t xml:space="preserve">                                                                           </w:t>
    </w:r>
  </w:p>
  <w:p w:rsidR="002B79EE" w:rsidRPr="00744759" w:rsidRDefault="002B79EE" w:rsidP="00744759">
    <w:pPr>
      <w:tabs>
        <w:tab w:val="center" w:pos="4252"/>
        <w:tab w:val="right" w:pos="8504"/>
      </w:tabs>
      <w:spacing w:after="0" w:line="240" w:lineRule="auto"/>
      <w:jc w:val="center"/>
      <w:rPr>
        <w:rFonts w:ascii="Calibri" w:eastAsia="Calibri" w:hAnsi="Calibri" w:cs="Times New Roman"/>
      </w:rPr>
    </w:pPr>
  </w:p>
  <w:p w:rsidR="002B79EE" w:rsidRPr="00744759" w:rsidRDefault="002B79EE" w:rsidP="00744759">
    <w:pPr>
      <w:tabs>
        <w:tab w:val="center" w:pos="4252"/>
        <w:tab w:val="right" w:pos="8504"/>
      </w:tabs>
      <w:spacing w:after="0" w:line="240" w:lineRule="auto"/>
      <w:jc w:val="center"/>
      <w:rPr>
        <w:rFonts w:ascii="Calibri" w:eastAsia="Calibri" w:hAnsi="Calibri" w:cs="Times New Roman"/>
      </w:rPr>
    </w:pPr>
  </w:p>
  <w:p w:rsidR="00E83F60" w:rsidRDefault="00E83F60" w:rsidP="00744759">
    <w:pPr>
      <w:tabs>
        <w:tab w:val="center" w:pos="4252"/>
        <w:tab w:val="right" w:pos="8504"/>
      </w:tabs>
      <w:spacing w:after="0" w:line="240" w:lineRule="auto"/>
      <w:jc w:val="center"/>
      <w:rPr>
        <w:rFonts w:ascii="Verdana" w:eastAsia="Calibri" w:hAnsi="Verdana" w:cs="Times New Roman"/>
        <w:b/>
        <w:sz w:val="24"/>
        <w:szCs w:val="24"/>
      </w:rPr>
    </w:pPr>
    <w:r>
      <w:rPr>
        <w:rFonts w:ascii="Verdana" w:eastAsia="Calibri" w:hAnsi="Verdana" w:cs="Times New Roman"/>
        <w:b/>
        <w:sz w:val="24"/>
        <w:szCs w:val="24"/>
      </w:rPr>
      <w:t>Violencia de Género</w:t>
    </w:r>
  </w:p>
  <w:p w:rsidR="002B79EE" w:rsidRPr="00744759" w:rsidRDefault="002B79EE" w:rsidP="00744759">
    <w:pPr>
      <w:tabs>
        <w:tab w:val="center" w:pos="4252"/>
        <w:tab w:val="right" w:pos="8504"/>
      </w:tabs>
      <w:spacing w:after="0" w:line="240" w:lineRule="auto"/>
      <w:jc w:val="center"/>
      <w:rPr>
        <w:rFonts w:ascii="Verdana" w:eastAsia="Calibri" w:hAnsi="Verdana" w:cs="Times New Roman"/>
        <w:b/>
        <w:sz w:val="24"/>
        <w:szCs w:val="24"/>
      </w:rPr>
    </w:pPr>
    <w:r>
      <w:rPr>
        <w:rFonts w:ascii="Verdana" w:eastAsia="Calibri" w:hAnsi="Verdana" w:cs="Times New Roman"/>
        <w:b/>
        <w:sz w:val="24"/>
        <w:szCs w:val="24"/>
      </w:rPr>
      <w:t>Esterilizaciones quirúrgicas en personas con discapacidad mental</w:t>
    </w:r>
  </w:p>
  <w:p w:rsidR="002B79EE" w:rsidRDefault="002B79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D5026"/>
    <w:multiLevelType w:val="hybridMultilevel"/>
    <w:tmpl w:val="5914C0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ía Pilar Iturrieta Cuevas">
    <w15:presenceInfo w15:providerId="None" w15:userId="María Pilar Iturrieta Cuev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744759"/>
    <w:rsid w:val="00061A40"/>
    <w:rsid w:val="00121711"/>
    <w:rsid w:val="00125E95"/>
    <w:rsid w:val="00150427"/>
    <w:rsid w:val="001829A9"/>
    <w:rsid w:val="001F2AA3"/>
    <w:rsid w:val="00201C6A"/>
    <w:rsid w:val="002512F1"/>
    <w:rsid w:val="0025590C"/>
    <w:rsid w:val="002965F3"/>
    <w:rsid w:val="002B79EE"/>
    <w:rsid w:val="002D7F7F"/>
    <w:rsid w:val="003037EE"/>
    <w:rsid w:val="0031093B"/>
    <w:rsid w:val="0036152C"/>
    <w:rsid w:val="00391B55"/>
    <w:rsid w:val="003E093E"/>
    <w:rsid w:val="003F0113"/>
    <w:rsid w:val="003F2568"/>
    <w:rsid w:val="0040262C"/>
    <w:rsid w:val="00412CA0"/>
    <w:rsid w:val="004D12B2"/>
    <w:rsid w:val="004D1712"/>
    <w:rsid w:val="004E3E14"/>
    <w:rsid w:val="00531B18"/>
    <w:rsid w:val="00537B37"/>
    <w:rsid w:val="00540204"/>
    <w:rsid w:val="005C2A0F"/>
    <w:rsid w:val="00647551"/>
    <w:rsid w:val="00670BBD"/>
    <w:rsid w:val="00672D7C"/>
    <w:rsid w:val="006745DF"/>
    <w:rsid w:val="006A2676"/>
    <w:rsid w:val="006E7BBC"/>
    <w:rsid w:val="006F35EE"/>
    <w:rsid w:val="00744759"/>
    <w:rsid w:val="00775840"/>
    <w:rsid w:val="0078070C"/>
    <w:rsid w:val="007932A4"/>
    <w:rsid w:val="007B21BB"/>
    <w:rsid w:val="0080743B"/>
    <w:rsid w:val="00890F49"/>
    <w:rsid w:val="008A72D8"/>
    <w:rsid w:val="008F0767"/>
    <w:rsid w:val="008F658D"/>
    <w:rsid w:val="0092758C"/>
    <w:rsid w:val="0093239F"/>
    <w:rsid w:val="00944F59"/>
    <w:rsid w:val="009636DF"/>
    <w:rsid w:val="00977E3B"/>
    <w:rsid w:val="0099461C"/>
    <w:rsid w:val="009E1F18"/>
    <w:rsid w:val="009F1B9C"/>
    <w:rsid w:val="00A95DD0"/>
    <w:rsid w:val="00BA41E4"/>
    <w:rsid w:val="00BA5FB3"/>
    <w:rsid w:val="00BF7029"/>
    <w:rsid w:val="00C03C89"/>
    <w:rsid w:val="00C26063"/>
    <w:rsid w:val="00C60FD0"/>
    <w:rsid w:val="00C80A79"/>
    <w:rsid w:val="00CA512A"/>
    <w:rsid w:val="00D03942"/>
    <w:rsid w:val="00D16F65"/>
    <w:rsid w:val="00DA0A39"/>
    <w:rsid w:val="00E63592"/>
    <w:rsid w:val="00E83F60"/>
    <w:rsid w:val="00E90C45"/>
    <w:rsid w:val="00EF4571"/>
    <w:rsid w:val="00F06024"/>
    <w:rsid w:val="00F965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E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47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4759"/>
  </w:style>
  <w:style w:type="paragraph" w:styleId="Piedepgina">
    <w:name w:val="footer"/>
    <w:basedOn w:val="Normal"/>
    <w:link w:val="PiedepginaCar"/>
    <w:uiPriority w:val="99"/>
    <w:unhideWhenUsed/>
    <w:rsid w:val="007447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4759"/>
  </w:style>
  <w:style w:type="paragraph" w:styleId="Textodeglobo">
    <w:name w:val="Balloon Text"/>
    <w:basedOn w:val="Normal"/>
    <w:link w:val="TextodegloboCar"/>
    <w:uiPriority w:val="99"/>
    <w:semiHidden/>
    <w:unhideWhenUsed/>
    <w:rsid w:val="007758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5840"/>
    <w:rPr>
      <w:rFonts w:ascii="Segoe UI" w:hAnsi="Segoe UI" w:cs="Segoe UI"/>
      <w:sz w:val="18"/>
      <w:szCs w:val="18"/>
    </w:rPr>
  </w:style>
  <w:style w:type="paragraph" w:customStyle="1" w:styleId="Normal1">
    <w:name w:val="Normal1"/>
    <w:rsid w:val="00C60FD0"/>
    <w:rPr>
      <w:rFonts w:ascii="Calibri" w:eastAsia="Calibri" w:hAnsi="Calibri" w:cs="Calibri"/>
      <w:lang w:val="es-CL" w:eastAsia="es-ES"/>
    </w:rPr>
  </w:style>
  <w:style w:type="paragraph" w:styleId="Textonotapie">
    <w:name w:val="footnote text"/>
    <w:basedOn w:val="Normal"/>
    <w:link w:val="TextonotapieCar"/>
    <w:uiPriority w:val="99"/>
    <w:semiHidden/>
    <w:unhideWhenUsed/>
    <w:rsid w:val="00C60FD0"/>
    <w:pPr>
      <w:spacing w:after="0" w:line="240" w:lineRule="auto"/>
    </w:pPr>
    <w:rPr>
      <w:rFonts w:ascii="Calibri" w:eastAsia="Calibri" w:hAnsi="Calibri" w:cs="Calibri"/>
      <w:sz w:val="20"/>
      <w:szCs w:val="20"/>
      <w:lang w:val="es-CL" w:eastAsia="es-ES"/>
    </w:rPr>
  </w:style>
  <w:style w:type="character" w:customStyle="1" w:styleId="TextonotapieCar">
    <w:name w:val="Texto nota pie Car"/>
    <w:basedOn w:val="Fuentedeprrafopredeter"/>
    <w:link w:val="Textonotapie"/>
    <w:uiPriority w:val="99"/>
    <w:semiHidden/>
    <w:rsid w:val="00C60FD0"/>
    <w:rPr>
      <w:rFonts w:ascii="Calibri" w:eastAsia="Calibri" w:hAnsi="Calibri" w:cs="Calibri"/>
      <w:sz w:val="20"/>
      <w:szCs w:val="20"/>
      <w:lang w:val="es-CL" w:eastAsia="es-ES"/>
    </w:rPr>
  </w:style>
  <w:style w:type="character" w:styleId="Refdenotaalpie">
    <w:name w:val="footnote reference"/>
    <w:basedOn w:val="Fuentedeprrafopredeter"/>
    <w:uiPriority w:val="99"/>
    <w:semiHidden/>
    <w:unhideWhenUsed/>
    <w:rsid w:val="00C60FD0"/>
    <w:rPr>
      <w:vertAlign w:val="superscript"/>
    </w:rPr>
  </w:style>
  <w:style w:type="character" w:styleId="Refdecomentario">
    <w:name w:val="annotation reference"/>
    <w:basedOn w:val="Fuentedeprrafopredeter"/>
    <w:uiPriority w:val="99"/>
    <w:semiHidden/>
    <w:unhideWhenUsed/>
    <w:rsid w:val="004E3E14"/>
    <w:rPr>
      <w:sz w:val="16"/>
      <w:szCs w:val="16"/>
    </w:rPr>
  </w:style>
  <w:style w:type="paragraph" w:styleId="Textocomentario">
    <w:name w:val="annotation text"/>
    <w:basedOn w:val="Normal"/>
    <w:link w:val="TextocomentarioCar"/>
    <w:uiPriority w:val="99"/>
    <w:semiHidden/>
    <w:unhideWhenUsed/>
    <w:rsid w:val="004E3E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3E14"/>
    <w:rPr>
      <w:sz w:val="20"/>
      <w:szCs w:val="20"/>
    </w:rPr>
  </w:style>
  <w:style w:type="paragraph" w:styleId="Asuntodelcomentario">
    <w:name w:val="annotation subject"/>
    <w:basedOn w:val="Textocomentario"/>
    <w:next w:val="Textocomentario"/>
    <w:link w:val="AsuntodelcomentarioCar"/>
    <w:uiPriority w:val="99"/>
    <w:semiHidden/>
    <w:unhideWhenUsed/>
    <w:rsid w:val="004E3E14"/>
    <w:rPr>
      <w:b/>
      <w:bCs/>
    </w:rPr>
  </w:style>
  <w:style w:type="character" w:customStyle="1" w:styleId="AsuntodelcomentarioCar">
    <w:name w:val="Asunto del comentario Car"/>
    <w:basedOn w:val="TextocomentarioCar"/>
    <w:link w:val="Asuntodelcomentario"/>
    <w:uiPriority w:val="99"/>
    <w:semiHidden/>
    <w:rsid w:val="004E3E14"/>
    <w:rPr>
      <w:b/>
      <w:bCs/>
      <w:sz w:val="20"/>
      <w:szCs w:val="20"/>
    </w:rPr>
  </w:style>
  <w:style w:type="paragraph" w:styleId="Prrafodelista">
    <w:name w:val="List Paragraph"/>
    <w:basedOn w:val="Normal"/>
    <w:uiPriority w:val="34"/>
    <w:qFormat/>
    <w:rsid w:val="00CA512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D490F-30DE-4C20-BEE0-F12C47A3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2117</Words>
  <Characters>11645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Ortega</dc:creator>
  <cp:lastModifiedBy>Mario Gabriel González Cancino</cp:lastModifiedBy>
  <cp:revision>2</cp:revision>
  <dcterms:created xsi:type="dcterms:W3CDTF">2019-04-30T21:52:00Z</dcterms:created>
  <dcterms:modified xsi:type="dcterms:W3CDTF">2019-04-30T21:52:00Z</dcterms:modified>
</cp:coreProperties>
</file>