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280CB4" w:rsidP="00DC3C57">
      <w:pPr>
        <w:jc w:val="center"/>
        <w:rPr>
          <w:rFonts w:ascii="Calibri" w:hAnsi="Calibri"/>
          <w:b/>
          <w:sz w:val="28"/>
        </w:rPr>
      </w:pPr>
      <w:r w:rsidRPr="00280CB4">
        <w:rPr>
          <w:rFonts w:ascii="Calibri" w:hAnsi="Calibri"/>
          <w:b/>
          <w:sz w:val="28"/>
        </w:rPr>
        <w:t>PROFESIONAL SECCIÓN DE ADQUISICIONES Y CONTRATACIONES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>s 0 y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280CB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9.846.749-1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280CB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11.850.504-2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280CB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11.948.111-2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280CB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13.857.660-4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280CB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14.652.071-5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280CB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15.558.524-2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280CB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16.392.182-0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>
      <w:bookmarkStart w:id="0" w:name="_GoBack"/>
      <w:bookmarkEnd w:id="0"/>
    </w:p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80CB4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487A0-B477-4F8B-8BE4-6F5BF3BA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Cristian Villaseca Valdés</cp:lastModifiedBy>
  <cp:revision>2</cp:revision>
  <dcterms:created xsi:type="dcterms:W3CDTF">2019-09-26T15:52:00Z</dcterms:created>
  <dcterms:modified xsi:type="dcterms:W3CDTF">2019-09-26T15:52:00Z</dcterms:modified>
</cp:coreProperties>
</file>