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D092" w14:textId="77777777" w:rsidR="003B3656" w:rsidRPr="00C464C3" w:rsidRDefault="00965491" w:rsidP="003B3656">
      <w:pPr>
        <w:jc w:val="center"/>
        <w:rPr>
          <w:rFonts w:ascii="Verdana" w:hAnsi="Verdana"/>
          <w:b/>
        </w:rPr>
      </w:pPr>
      <w:r w:rsidRPr="00C464C3">
        <w:rPr>
          <w:rFonts w:ascii="Verdana" w:hAnsi="Verdana"/>
          <w:noProof/>
          <w:lang w:val="en-US"/>
        </w:rPr>
        <w:drawing>
          <wp:inline distT="0" distB="0" distL="0" distR="0" wp14:anchorId="3B805E75" wp14:editId="46B48DD0">
            <wp:extent cx="2009775" cy="1828800"/>
            <wp:effectExtent l="0" t="0" r="9525" b="0"/>
            <wp:docPr id="2" name="image1.jpg" descr="Logo SENADIS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SENADIS (CMY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5FA3" w14:textId="77777777" w:rsidR="003B3656" w:rsidRPr="00C464C3" w:rsidRDefault="003B3656" w:rsidP="003B3656">
      <w:pPr>
        <w:jc w:val="center"/>
        <w:rPr>
          <w:rFonts w:ascii="Verdana" w:hAnsi="Verdana"/>
          <w:b/>
        </w:rPr>
      </w:pPr>
    </w:p>
    <w:p w14:paraId="681BA796" w14:textId="77777777" w:rsidR="003B3656" w:rsidRPr="00C464C3" w:rsidRDefault="003B3656" w:rsidP="003B3656">
      <w:pPr>
        <w:jc w:val="center"/>
        <w:rPr>
          <w:rFonts w:ascii="Verdana" w:hAnsi="Verdana"/>
          <w:b/>
        </w:rPr>
      </w:pPr>
    </w:p>
    <w:p w14:paraId="07F90840" w14:textId="60F9C391" w:rsidR="00E57103" w:rsidRPr="005E2835" w:rsidRDefault="00D238D9" w:rsidP="00D238D9">
      <w:pPr>
        <w:spacing w:after="0"/>
        <w:jc w:val="center"/>
        <w:rPr>
          <w:rFonts w:ascii="Verdana" w:hAnsi="Verdana"/>
          <w:b/>
          <w:sz w:val="24"/>
          <w:szCs w:val="28"/>
        </w:rPr>
      </w:pPr>
      <w:r w:rsidRPr="005E2835">
        <w:rPr>
          <w:rFonts w:ascii="Verdana" w:hAnsi="Verdana"/>
          <w:b/>
          <w:sz w:val="24"/>
          <w:szCs w:val="28"/>
        </w:rPr>
        <w:t>RESPUESTAS A CONSULTAS DE LAS</w:t>
      </w:r>
    </w:p>
    <w:p w14:paraId="0ABAB7A0" w14:textId="581B717A" w:rsidR="005D1EF4" w:rsidRPr="005E2835" w:rsidRDefault="00D238D9" w:rsidP="00D238D9">
      <w:pPr>
        <w:pStyle w:val="Default"/>
        <w:jc w:val="center"/>
        <w:rPr>
          <w:rFonts w:ascii="Verdana" w:hAnsi="Verdana"/>
          <w:b/>
          <w:szCs w:val="28"/>
        </w:rPr>
      </w:pPr>
      <w:r w:rsidRPr="005E2835">
        <w:rPr>
          <w:rFonts w:ascii="Verdana" w:hAnsi="Verdana"/>
          <w:b/>
          <w:szCs w:val="28"/>
        </w:rPr>
        <w:t xml:space="preserve">BASES TÉCNICAS Y ADMINISTRATIVAS DE LA </w:t>
      </w:r>
      <w:r w:rsidRPr="005E2835">
        <w:rPr>
          <w:rFonts w:ascii="Verdana" w:hAnsi="Verdana"/>
          <w:b/>
          <w:bCs/>
          <w:szCs w:val="28"/>
        </w:rPr>
        <w:t>CONVOCATORIA ACOTADA PARA LA EJECUCIÓN DE SERVICIOS DE ASESORÍA Y ACOMPAÑAMIENTO EN LA INSTALACIÓN DE INCUBADORAS DE COOPERATIVAS INCLUSIVAS A MUNICIPALIDADES ADJUDICATARIAS DE LA MODALIDAD CONTINUIDAD DE LA ESTRATEGIA</w:t>
      </w:r>
      <w:r w:rsidR="005E2835">
        <w:rPr>
          <w:rFonts w:ascii="Verdana" w:hAnsi="Verdana"/>
          <w:b/>
          <w:bCs/>
          <w:szCs w:val="28"/>
        </w:rPr>
        <w:t xml:space="preserve"> DE DESARROLLO LOCAL INCLUSIVO, </w:t>
      </w:r>
      <w:r w:rsidRPr="005E2835">
        <w:rPr>
          <w:rFonts w:ascii="Verdana" w:hAnsi="Verdana"/>
          <w:b/>
          <w:bCs/>
          <w:szCs w:val="28"/>
        </w:rPr>
        <w:t>AÑO 2021, DEL SERVICIO NACIONAL DE LA DISCAPACIDAD.</w:t>
      </w:r>
    </w:p>
    <w:p w14:paraId="58FD009A" w14:textId="77777777" w:rsidR="004B6110" w:rsidRPr="005E2835" w:rsidRDefault="004B6110" w:rsidP="00D238D9">
      <w:pPr>
        <w:jc w:val="center"/>
        <w:rPr>
          <w:rFonts w:ascii="Verdana" w:hAnsi="Verdana"/>
          <w:b/>
          <w:sz w:val="24"/>
          <w:szCs w:val="28"/>
        </w:rPr>
      </w:pPr>
    </w:p>
    <w:p w14:paraId="62B1DCB6" w14:textId="77777777" w:rsidR="004B6110" w:rsidRPr="005E2835" w:rsidRDefault="004B6110" w:rsidP="00D238D9">
      <w:pPr>
        <w:jc w:val="center"/>
        <w:rPr>
          <w:rFonts w:ascii="Verdana" w:hAnsi="Verdana"/>
          <w:b/>
          <w:sz w:val="24"/>
          <w:szCs w:val="28"/>
        </w:rPr>
      </w:pPr>
    </w:p>
    <w:p w14:paraId="5C6D19BE" w14:textId="77777777" w:rsidR="004B6110" w:rsidRPr="005E2835" w:rsidRDefault="004B6110" w:rsidP="001A7ECD">
      <w:pPr>
        <w:jc w:val="center"/>
        <w:rPr>
          <w:rFonts w:ascii="Verdana" w:hAnsi="Verdana"/>
          <w:b/>
          <w:sz w:val="24"/>
          <w:szCs w:val="28"/>
        </w:rPr>
      </w:pPr>
    </w:p>
    <w:p w14:paraId="60816FE1" w14:textId="77777777" w:rsidR="004B6110" w:rsidRPr="005E2835" w:rsidRDefault="004B6110" w:rsidP="001A7ECD">
      <w:pPr>
        <w:jc w:val="center"/>
        <w:rPr>
          <w:rFonts w:ascii="Verdana" w:hAnsi="Verdana"/>
          <w:b/>
          <w:sz w:val="24"/>
          <w:szCs w:val="28"/>
        </w:rPr>
      </w:pPr>
    </w:p>
    <w:p w14:paraId="60ADED1E" w14:textId="77777777" w:rsidR="004B6110" w:rsidRPr="005E2835" w:rsidRDefault="004B6110" w:rsidP="001A7ECD">
      <w:pPr>
        <w:jc w:val="center"/>
        <w:rPr>
          <w:rFonts w:ascii="Verdana" w:hAnsi="Verdana"/>
          <w:b/>
        </w:rPr>
      </w:pPr>
    </w:p>
    <w:p w14:paraId="0B6E84B3" w14:textId="39AD23B5" w:rsidR="004B6110" w:rsidRPr="005E2835" w:rsidRDefault="005D1EF4" w:rsidP="001A7ECD">
      <w:pPr>
        <w:jc w:val="center"/>
        <w:rPr>
          <w:rFonts w:ascii="Verdana" w:hAnsi="Verdana"/>
          <w:b/>
        </w:rPr>
      </w:pPr>
      <w:r w:rsidRPr="005E2835">
        <w:rPr>
          <w:rFonts w:ascii="Verdana" w:hAnsi="Verdana"/>
          <w:b/>
        </w:rPr>
        <w:t>Agosto</w:t>
      </w:r>
      <w:r w:rsidR="004B6110" w:rsidRPr="005E2835">
        <w:rPr>
          <w:rFonts w:ascii="Verdana" w:hAnsi="Verdana"/>
          <w:b/>
        </w:rPr>
        <w:t xml:space="preserve"> </w:t>
      </w:r>
      <w:r w:rsidRPr="005E2835">
        <w:rPr>
          <w:rFonts w:ascii="Verdana" w:hAnsi="Verdana"/>
          <w:b/>
        </w:rPr>
        <w:t>2021</w:t>
      </w:r>
    </w:p>
    <w:p w14:paraId="29E5709D" w14:textId="77777777" w:rsidR="003B3656" w:rsidRPr="00C464C3" w:rsidRDefault="003B3656">
      <w:pPr>
        <w:rPr>
          <w:rFonts w:ascii="Verdana" w:hAnsi="Verdana"/>
          <w:b/>
        </w:rPr>
      </w:pPr>
      <w:r w:rsidRPr="00C464C3">
        <w:rPr>
          <w:rFonts w:ascii="Verdana" w:hAnsi="Verdana"/>
          <w:b/>
        </w:rPr>
        <w:br w:type="page"/>
      </w:r>
    </w:p>
    <w:p w14:paraId="4E77AE8E" w14:textId="6766F7A8" w:rsidR="005D1EF4" w:rsidRPr="005E2835" w:rsidRDefault="004B6110" w:rsidP="004B6110">
      <w:pPr>
        <w:spacing w:line="276" w:lineRule="auto"/>
        <w:jc w:val="both"/>
        <w:rPr>
          <w:rFonts w:ascii="Verdana" w:hAnsi="Verdana" w:cs="Arial"/>
        </w:rPr>
      </w:pPr>
      <w:r w:rsidRPr="005E2835">
        <w:rPr>
          <w:rFonts w:ascii="Verdana" w:hAnsi="Verdana" w:cs="Arial"/>
        </w:rPr>
        <w:lastRenderedPageBreak/>
        <w:t xml:space="preserve">En el presente documento se da cuenta de un compilado de preguntas realizadas durante el periodo de consultas a las Bases Técnicas y </w:t>
      </w:r>
      <w:r w:rsidR="00F0727D" w:rsidRPr="005E2835">
        <w:rPr>
          <w:rFonts w:ascii="Verdana" w:hAnsi="Verdana" w:cs="Arial"/>
        </w:rPr>
        <w:t xml:space="preserve">Administrativas de la Convocatoria Acotada </w:t>
      </w:r>
      <w:r w:rsidR="00F1334E" w:rsidRPr="005E2835">
        <w:rPr>
          <w:rFonts w:ascii="Verdana" w:hAnsi="Verdana" w:cs="Arial"/>
        </w:rPr>
        <w:t>de A</w:t>
      </w:r>
      <w:r w:rsidR="00F1334E" w:rsidRPr="005E2835">
        <w:rPr>
          <w:rFonts w:ascii="Verdana" w:hAnsi="Verdana" w:cs="Arial"/>
          <w:color w:val="202124"/>
          <w:shd w:val="clear" w:color="auto" w:fill="FFFFFF"/>
        </w:rPr>
        <w:t>sesoría y acompañamiento en la instalación de incubadoras de cooperativas inclusivas a Municipalidades adjudicatarias de la Modalidad Continuidad de la EDLI 2021.</w:t>
      </w:r>
    </w:p>
    <w:p w14:paraId="50A8C457" w14:textId="77777777" w:rsidR="005D1EF4" w:rsidRPr="00C464C3" w:rsidRDefault="005D1EF4" w:rsidP="004B6110">
      <w:pPr>
        <w:spacing w:line="276" w:lineRule="auto"/>
        <w:jc w:val="both"/>
        <w:rPr>
          <w:rFonts w:ascii="Verdana" w:hAnsi="Verdana"/>
        </w:rPr>
      </w:pPr>
    </w:p>
    <w:sdt>
      <w:sdtPr>
        <w:rPr>
          <w:rFonts w:ascii="Calibri" w:eastAsia="Calibri" w:hAnsi="Calibri"/>
          <w:b/>
          <w:bCs/>
          <w:color w:val="44546A" w:themeColor="text2"/>
          <w:sz w:val="22"/>
          <w:szCs w:val="22"/>
          <w:lang w:eastAsia="en-US"/>
        </w:rPr>
        <w:id w:val="1142636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589536" w14:textId="6333F9D2" w:rsidR="00180B72" w:rsidRPr="005E2835" w:rsidRDefault="00180B72" w:rsidP="00180B72">
          <w:pPr>
            <w:pStyle w:val="TtuloTDC"/>
            <w:numPr>
              <w:ilvl w:val="0"/>
              <w:numId w:val="24"/>
            </w:numPr>
            <w:rPr>
              <w:rStyle w:val="Ttulo1Car"/>
              <w:szCs w:val="28"/>
            </w:rPr>
          </w:pPr>
          <w:r w:rsidRPr="005E2835">
            <w:rPr>
              <w:rStyle w:val="Ttulo1Car"/>
              <w:szCs w:val="28"/>
            </w:rPr>
            <w:t>CONTENIDO</w:t>
          </w:r>
        </w:p>
        <w:p w14:paraId="7CAC1412" w14:textId="77777777" w:rsidR="00180B72" w:rsidRPr="00E23853" w:rsidRDefault="00180B72" w:rsidP="00180B72">
          <w:pPr>
            <w:rPr>
              <w:color w:val="2E74B5" w:themeColor="accent1" w:themeShade="BF"/>
              <w:lang w:eastAsia="es-ES"/>
            </w:rPr>
          </w:pPr>
        </w:p>
        <w:p w14:paraId="0AC213BB" w14:textId="6E0D8CB9" w:rsidR="00317516" w:rsidRPr="005E2835" w:rsidRDefault="00180B72" w:rsidP="005E2835">
          <w:pPr>
            <w:pStyle w:val="TDC1"/>
            <w:rPr>
              <w:rFonts w:eastAsiaTheme="minorEastAsia" w:cstheme="minorBidi"/>
              <w:noProof/>
              <w:lang w:val="es-CL" w:eastAsia="es-CL"/>
            </w:rPr>
          </w:pPr>
          <w:r w:rsidRPr="00E23853">
            <w:rPr>
              <w:color w:val="2E74B5" w:themeColor="accent1" w:themeShade="BF"/>
            </w:rPr>
            <w:fldChar w:fldCharType="begin"/>
          </w:r>
          <w:r w:rsidRPr="00E23853">
            <w:rPr>
              <w:color w:val="2E74B5" w:themeColor="accent1" w:themeShade="BF"/>
            </w:rPr>
            <w:instrText>TOC \o "1-3" \h \z \u</w:instrText>
          </w:r>
          <w:r w:rsidRPr="00E23853">
            <w:rPr>
              <w:color w:val="2E74B5" w:themeColor="accent1" w:themeShade="BF"/>
            </w:rPr>
            <w:fldChar w:fldCharType="separate"/>
          </w:r>
          <w:hyperlink w:anchor="_Toc80350842" w:history="1">
            <w:r w:rsidR="00317516" w:rsidRPr="005E2835">
              <w:rPr>
                <w:rStyle w:val="Hipervnculo"/>
                <w:rFonts w:ascii="Verdana" w:hAnsi="Verdana"/>
                <w:noProof/>
                <w:sz w:val="22"/>
                <w:szCs w:val="22"/>
              </w:rPr>
              <w:t>1.POSTULACIÓN</w:t>
            </w:r>
            <w:r w:rsidR="00317516" w:rsidRPr="005E2835">
              <w:rPr>
                <w:noProof/>
                <w:webHidden/>
              </w:rPr>
              <w:tab/>
            </w:r>
            <w:r w:rsidR="00317516" w:rsidRPr="005E2835">
              <w:rPr>
                <w:noProof/>
                <w:webHidden/>
              </w:rPr>
              <w:fldChar w:fldCharType="begin"/>
            </w:r>
            <w:r w:rsidR="00317516" w:rsidRPr="005E2835">
              <w:rPr>
                <w:noProof/>
                <w:webHidden/>
              </w:rPr>
              <w:instrText xml:space="preserve"> PAGEREF _Toc80350842 \h </w:instrText>
            </w:r>
            <w:r w:rsidR="00317516" w:rsidRPr="005E2835">
              <w:rPr>
                <w:noProof/>
                <w:webHidden/>
              </w:rPr>
            </w:r>
            <w:r w:rsidR="00317516" w:rsidRPr="005E2835">
              <w:rPr>
                <w:noProof/>
                <w:webHidden/>
              </w:rPr>
              <w:fldChar w:fldCharType="separate"/>
            </w:r>
            <w:r w:rsidR="00317516" w:rsidRPr="005E2835">
              <w:rPr>
                <w:noProof/>
                <w:webHidden/>
              </w:rPr>
              <w:t>2</w:t>
            </w:r>
            <w:r w:rsidR="00317516" w:rsidRPr="005E2835">
              <w:rPr>
                <w:noProof/>
                <w:webHidden/>
              </w:rPr>
              <w:fldChar w:fldCharType="end"/>
            </w:r>
          </w:hyperlink>
        </w:p>
        <w:p w14:paraId="527BA0A2" w14:textId="56D5D5B1" w:rsidR="00317516" w:rsidRPr="005E2835" w:rsidRDefault="00A3456A" w:rsidP="005E2835">
          <w:pPr>
            <w:pStyle w:val="TDC1"/>
            <w:rPr>
              <w:rFonts w:eastAsiaTheme="minorEastAsia" w:cstheme="minorBidi"/>
              <w:noProof/>
              <w:lang w:val="es-CL" w:eastAsia="es-CL"/>
            </w:rPr>
          </w:pPr>
          <w:hyperlink w:anchor="_Toc80350843" w:history="1">
            <w:r w:rsidR="00317516" w:rsidRPr="005E2835">
              <w:rPr>
                <w:rStyle w:val="Hipervnculo"/>
                <w:rFonts w:ascii="Verdana" w:hAnsi="Verdana"/>
                <w:noProof/>
                <w:sz w:val="22"/>
                <w:szCs w:val="22"/>
              </w:rPr>
              <w:t>3.ESPECIFICACIONES TÉCNICAS Y FINANCIERAS</w:t>
            </w:r>
            <w:r w:rsidR="00317516" w:rsidRPr="005E2835">
              <w:rPr>
                <w:noProof/>
                <w:webHidden/>
              </w:rPr>
              <w:tab/>
            </w:r>
            <w:r w:rsidR="00317516" w:rsidRPr="005E2835">
              <w:rPr>
                <w:noProof/>
                <w:webHidden/>
              </w:rPr>
              <w:fldChar w:fldCharType="begin"/>
            </w:r>
            <w:r w:rsidR="00317516" w:rsidRPr="005E2835">
              <w:rPr>
                <w:noProof/>
                <w:webHidden/>
              </w:rPr>
              <w:instrText xml:space="preserve"> PAGEREF _Toc80350843 \h </w:instrText>
            </w:r>
            <w:r w:rsidR="00317516" w:rsidRPr="005E2835">
              <w:rPr>
                <w:noProof/>
                <w:webHidden/>
              </w:rPr>
            </w:r>
            <w:r w:rsidR="00317516" w:rsidRPr="005E2835">
              <w:rPr>
                <w:noProof/>
                <w:webHidden/>
              </w:rPr>
              <w:fldChar w:fldCharType="separate"/>
            </w:r>
            <w:r w:rsidR="00317516" w:rsidRPr="005E2835">
              <w:rPr>
                <w:noProof/>
                <w:webHidden/>
              </w:rPr>
              <w:t>2</w:t>
            </w:r>
            <w:r w:rsidR="00317516" w:rsidRPr="005E2835">
              <w:rPr>
                <w:noProof/>
                <w:webHidden/>
              </w:rPr>
              <w:fldChar w:fldCharType="end"/>
            </w:r>
          </w:hyperlink>
        </w:p>
        <w:p w14:paraId="76F6D2B5" w14:textId="3745C5CD" w:rsidR="00180B72" w:rsidRPr="00E23853" w:rsidRDefault="00180B72">
          <w:pPr>
            <w:rPr>
              <w:rFonts w:ascii="Verdana" w:hAnsi="Verdana"/>
              <w:b/>
              <w:bCs/>
              <w:color w:val="44546A" w:themeColor="text2"/>
            </w:rPr>
          </w:pPr>
          <w:r w:rsidRPr="00E23853">
            <w:rPr>
              <w:rFonts w:ascii="Verdana" w:hAnsi="Verdana"/>
              <w:b/>
              <w:bCs/>
              <w:noProof/>
              <w:color w:val="2E74B5" w:themeColor="accent1" w:themeShade="BF"/>
            </w:rPr>
            <w:fldChar w:fldCharType="end"/>
          </w:r>
        </w:p>
      </w:sdtContent>
    </w:sdt>
    <w:p w14:paraId="53D1D3F3" w14:textId="35B6A782" w:rsidR="004B6110" w:rsidRDefault="00317516" w:rsidP="00D41088">
      <w:pPr>
        <w:pStyle w:val="Ttulo1"/>
        <w:numPr>
          <w:ilvl w:val="0"/>
          <w:numId w:val="0"/>
        </w:numPr>
        <w:ind w:left="1080" w:hanging="720"/>
      </w:pPr>
      <w:bookmarkStart w:id="0" w:name="_Toc8126573"/>
      <w:bookmarkStart w:id="1" w:name="_Toc80350842"/>
      <w:r>
        <w:t>2</w:t>
      </w:r>
      <w:r w:rsidR="003A042B">
        <w:t>.</w:t>
      </w:r>
      <w:r w:rsidR="004B6110" w:rsidRPr="00C464C3">
        <w:t>POSTULACIÓN</w:t>
      </w:r>
      <w:bookmarkEnd w:id="0"/>
      <w:bookmarkEnd w:id="1"/>
    </w:p>
    <w:p w14:paraId="46C69AE1" w14:textId="77777777" w:rsidR="00514BD6" w:rsidRPr="00514BD6" w:rsidRDefault="00514BD6" w:rsidP="00514BD6"/>
    <w:p w14:paraId="2E5F2492" w14:textId="77777777" w:rsidR="00514BD6" w:rsidRPr="005E2835" w:rsidRDefault="00514BD6" w:rsidP="005E2835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es-CL" w:eastAsia="es-CL"/>
        </w:rPr>
      </w:pPr>
      <w:r w:rsidRPr="005E2835">
        <w:rPr>
          <w:rFonts w:ascii="Verdana" w:eastAsia="Times New Roman" w:hAnsi="Verdana"/>
          <w:color w:val="222222"/>
          <w:lang w:val="es-CL" w:eastAsia="es-CL"/>
        </w:rPr>
        <w:t xml:space="preserve">Respecto al ítem "Entidades ejecutoras" en donde se detallan los tipos de entidades que pueden postular y solicitan una serie de requisitos que debe cumplir. </w:t>
      </w:r>
      <w:r w:rsidRPr="005E2835">
        <w:rPr>
          <w:rFonts w:ascii="Verdana" w:eastAsia="Times New Roman" w:hAnsi="Verdana"/>
          <w:b/>
          <w:color w:val="222222"/>
          <w:lang w:val="es-CL" w:eastAsia="es-CL"/>
        </w:rPr>
        <w:t>¿De qué modo deben demostrar estos requisitos, por ejemplo por medio de cartas, documentos, certificados, o basta con mencionarlos en el formulario?</w:t>
      </w:r>
    </w:p>
    <w:p w14:paraId="130AB9C0" w14:textId="4077BCCE" w:rsidR="00514BD6" w:rsidRPr="005E2835" w:rsidRDefault="00514BD6" w:rsidP="005E2835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es-CL" w:eastAsia="es-CL"/>
        </w:rPr>
      </w:pPr>
    </w:p>
    <w:p w14:paraId="4C9303B3" w14:textId="5E52ECDC" w:rsidR="00C80F3F" w:rsidRPr="005E2835" w:rsidRDefault="005E2835" w:rsidP="005E2835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es-CL" w:eastAsia="es-CL"/>
        </w:rPr>
      </w:pPr>
      <w:r w:rsidRPr="005E2835">
        <w:rPr>
          <w:rFonts w:ascii="Verdana" w:eastAsia="Times New Roman" w:hAnsi="Verdana"/>
          <w:b/>
          <w:color w:val="222222"/>
          <w:lang w:val="es-CL" w:eastAsia="es-CL"/>
        </w:rPr>
        <w:t>RESP:</w:t>
      </w:r>
      <w:r>
        <w:rPr>
          <w:rFonts w:ascii="Verdana" w:eastAsia="Times New Roman" w:hAnsi="Verdana"/>
          <w:color w:val="222222"/>
          <w:lang w:val="es-CL" w:eastAsia="es-CL"/>
        </w:rPr>
        <w:t xml:space="preserve"> </w:t>
      </w:r>
      <w:r w:rsidR="003F7B75" w:rsidRPr="005E2835">
        <w:rPr>
          <w:rFonts w:ascii="Verdana" w:eastAsia="Times New Roman" w:hAnsi="Verdana"/>
          <w:color w:val="222222"/>
          <w:lang w:val="es-CL" w:eastAsia="es-CL"/>
        </w:rPr>
        <w:t>Efectivamente, t</w:t>
      </w:r>
      <w:r w:rsidR="007B68B2" w:rsidRPr="005E2835">
        <w:rPr>
          <w:rFonts w:ascii="Verdana" w:eastAsia="Times New Roman" w:hAnsi="Verdana"/>
          <w:color w:val="222222"/>
          <w:lang w:val="es-CL" w:eastAsia="es-CL"/>
        </w:rPr>
        <w:t xml:space="preserve">al como se menciona en la pauta de evaluación se solicita </w:t>
      </w:r>
      <w:r w:rsidR="00C80F3F" w:rsidRPr="005E2835">
        <w:rPr>
          <w:rFonts w:ascii="Verdana" w:eastAsia="Times New Roman" w:hAnsi="Verdana"/>
          <w:color w:val="222222"/>
          <w:lang w:val="es-CL" w:eastAsia="es-CL"/>
        </w:rPr>
        <w:t>acompañar certificados de terceros, contratos u o</w:t>
      </w:r>
      <w:r w:rsidR="00E35EAA" w:rsidRPr="005E2835">
        <w:rPr>
          <w:rFonts w:ascii="Verdana" w:eastAsia="Times New Roman" w:hAnsi="Verdana"/>
          <w:color w:val="222222"/>
          <w:lang w:val="es-CL" w:eastAsia="es-CL"/>
        </w:rPr>
        <w:t>tros que demuestren la experiencia</w:t>
      </w:r>
      <w:r w:rsidR="007B68B2" w:rsidRPr="005E2835">
        <w:rPr>
          <w:rFonts w:ascii="Verdana" w:eastAsia="Times New Roman" w:hAnsi="Verdana"/>
          <w:color w:val="222222"/>
          <w:lang w:val="es-CL" w:eastAsia="es-CL"/>
        </w:rPr>
        <w:t>. Certificados de títulos</w:t>
      </w:r>
      <w:r w:rsidR="003F7B75" w:rsidRPr="005E2835">
        <w:rPr>
          <w:rFonts w:ascii="Verdana" w:eastAsia="Times New Roman" w:hAnsi="Verdana"/>
          <w:color w:val="222222"/>
          <w:lang w:val="es-CL" w:eastAsia="es-CL"/>
        </w:rPr>
        <w:t xml:space="preserve"> de</w:t>
      </w:r>
      <w:r w:rsidR="007B68B2" w:rsidRPr="005E2835">
        <w:rPr>
          <w:rFonts w:ascii="Verdana" w:eastAsia="Times New Roman" w:hAnsi="Verdana"/>
          <w:color w:val="222222"/>
          <w:lang w:val="es-CL" w:eastAsia="es-CL"/>
        </w:rPr>
        <w:t xml:space="preserve"> cada uno/a de </w:t>
      </w:r>
      <w:r w:rsidR="00241E61" w:rsidRPr="005E2835">
        <w:rPr>
          <w:rFonts w:ascii="Verdana" w:eastAsia="Times New Roman" w:hAnsi="Verdana"/>
          <w:color w:val="222222"/>
          <w:lang w:val="es-CL" w:eastAsia="es-CL"/>
        </w:rPr>
        <w:t>los profesionales</w:t>
      </w:r>
      <w:r w:rsidR="003F7B75" w:rsidRPr="005E2835">
        <w:rPr>
          <w:rFonts w:ascii="Verdana" w:eastAsia="Times New Roman" w:hAnsi="Verdana"/>
          <w:color w:val="222222"/>
          <w:lang w:val="es-CL" w:eastAsia="es-CL"/>
        </w:rPr>
        <w:t>, entre otros documentos posibles</w:t>
      </w:r>
      <w:r w:rsidR="002A600F" w:rsidRPr="005E2835">
        <w:rPr>
          <w:rFonts w:ascii="Verdana" w:hAnsi="Verdana"/>
          <w:color w:val="222222"/>
          <w:shd w:val="clear" w:color="auto" w:fill="FFFFFF"/>
        </w:rPr>
        <w:t xml:space="preserve"> que permiten verificar el criterio solicitado.</w:t>
      </w:r>
    </w:p>
    <w:p w14:paraId="39F85113" w14:textId="77777777" w:rsidR="00C80F3F" w:rsidRDefault="00C80F3F" w:rsidP="00514BD6">
      <w:pPr>
        <w:pStyle w:val="Prrafodelista"/>
        <w:shd w:val="clear" w:color="auto" w:fill="FFFFFF"/>
        <w:spacing w:after="0" w:line="240" w:lineRule="auto"/>
        <w:rPr>
          <w:rFonts w:ascii="Georgia" w:eastAsia="Times New Roman" w:hAnsi="Georgia"/>
          <w:color w:val="222222"/>
          <w:sz w:val="24"/>
          <w:szCs w:val="24"/>
          <w:lang w:val="es-CL" w:eastAsia="es-CL"/>
        </w:rPr>
      </w:pPr>
    </w:p>
    <w:p w14:paraId="74D25C7B" w14:textId="70D1631C" w:rsidR="00C464C3" w:rsidRDefault="00C57235" w:rsidP="00D41088">
      <w:pPr>
        <w:pStyle w:val="Ttulo1"/>
        <w:numPr>
          <w:ilvl w:val="0"/>
          <w:numId w:val="0"/>
        </w:numPr>
        <w:ind w:left="1080" w:hanging="720"/>
      </w:pPr>
      <w:bookmarkStart w:id="2" w:name="_Toc80350843"/>
      <w:r>
        <w:t>3.</w:t>
      </w:r>
      <w:r w:rsidR="00C464C3">
        <w:t>ESPECIFICACIONES TÉCNICAS</w:t>
      </w:r>
      <w:r w:rsidR="00AB150B">
        <w:t xml:space="preserve"> Y FINANCIERAS</w:t>
      </w:r>
      <w:bookmarkEnd w:id="2"/>
    </w:p>
    <w:p w14:paraId="2BD40DA7" w14:textId="77777777" w:rsidR="00497DB2" w:rsidRPr="00497DB2" w:rsidRDefault="00497DB2" w:rsidP="00497DB2"/>
    <w:p w14:paraId="4873D136" w14:textId="0F49ECCA" w:rsidR="00497DB2" w:rsidRPr="005E2835" w:rsidRDefault="00497DB2" w:rsidP="005E2835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val="es-CL" w:eastAsia="es-CL"/>
        </w:rPr>
      </w:pPr>
      <w:r w:rsidRPr="005E2835">
        <w:rPr>
          <w:rFonts w:ascii="Verdana" w:eastAsia="Times New Roman" w:hAnsi="Verdana" w:cs="Arial"/>
          <w:b/>
          <w:color w:val="222222"/>
          <w:lang w:val="es-CL" w:eastAsia="es-CL"/>
        </w:rPr>
        <w:t>¿Pudiéramos incorporar los $3.000.000 del proceso de formalización dentro de los servicios profesionales de una abogada/</w:t>
      </w:r>
      <w:proofErr w:type="gramStart"/>
      <w:r w:rsidRPr="005E2835">
        <w:rPr>
          <w:rFonts w:ascii="Verdana" w:eastAsia="Times New Roman" w:hAnsi="Verdana" w:cs="Arial"/>
          <w:b/>
          <w:color w:val="222222"/>
          <w:lang w:val="es-CL" w:eastAsia="es-CL"/>
        </w:rPr>
        <w:t>o?.</w:t>
      </w:r>
      <w:proofErr w:type="gramEnd"/>
      <w:r w:rsidRPr="005E2835">
        <w:rPr>
          <w:rFonts w:ascii="Verdana" w:eastAsia="Times New Roman" w:hAnsi="Verdana" w:cs="Arial"/>
          <w:color w:val="222222"/>
          <w:lang w:val="es-CL" w:eastAsia="es-CL"/>
        </w:rPr>
        <w:t xml:space="preserve"> De todas maneras, sin considerar los servicios profesionales, </w:t>
      </w:r>
      <w:r w:rsidRPr="005E2835">
        <w:rPr>
          <w:rFonts w:ascii="Verdana" w:eastAsia="Times New Roman" w:hAnsi="Verdana" w:cs="Arial"/>
          <w:b/>
          <w:color w:val="222222"/>
          <w:lang w:val="es-CL" w:eastAsia="es-CL"/>
        </w:rPr>
        <w:t xml:space="preserve">¿qué pasa si sólo por concepto de gastos notariales y de gestión para la formalización superaran los $3.000.000?, ¿Podrían solicitarse recursos adicionales para estos </w:t>
      </w:r>
      <w:proofErr w:type="gramStart"/>
      <w:r w:rsidRPr="005E2835">
        <w:rPr>
          <w:rFonts w:ascii="Verdana" w:eastAsia="Times New Roman" w:hAnsi="Verdana" w:cs="Arial"/>
          <w:b/>
          <w:color w:val="222222"/>
          <w:lang w:val="es-CL" w:eastAsia="es-CL"/>
        </w:rPr>
        <w:t>efectos?</w:t>
      </w:r>
      <w:r w:rsidRPr="005E2835">
        <w:rPr>
          <w:rFonts w:ascii="Verdana" w:eastAsia="Times New Roman" w:hAnsi="Verdana" w:cs="Arial"/>
          <w:color w:val="222222"/>
          <w:lang w:val="es-CL" w:eastAsia="es-CL"/>
        </w:rPr>
        <w:t>.</w:t>
      </w:r>
      <w:proofErr w:type="gramEnd"/>
    </w:p>
    <w:p w14:paraId="1E2DD9E3" w14:textId="77777777" w:rsidR="00497DB2" w:rsidRPr="005E2835" w:rsidRDefault="00497DB2" w:rsidP="005E28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val="es-CL" w:eastAsia="es-CL"/>
        </w:rPr>
      </w:pPr>
    </w:p>
    <w:p w14:paraId="2C193F7A" w14:textId="77777777" w:rsidR="005E2835" w:rsidRDefault="005E2835" w:rsidP="005E2835">
      <w:pPr>
        <w:spacing w:after="0" w:line="240" w:lineRule="auto"/>
        <w:jc w:val="both"/>
        <w:rPr>
          <w:rFonts w:ascii="Verdana" w:eastAsia="Times New Roman" w:hAnsi="Verdana" w:cs="Arial"/>
          <w:lang w:eastAsia="es-CL"/>
        </w:rPr>
      </w:pPr>
      <w:r w:rsidRPr="005E2835">
        <w:rPr>
          <w:rFonts w:ascii="Verdana" w:eastAsia="Times New Roman" w:hAnsi="Verdana" w:cs="Arial"/>
          <w:b/>
          <w:lang w:eastAsia="es-CL"/>
        </w:rPr>
        <w:t>RESP:</w:t>
      </w:r>
      <w:r>
        <w:rPr>
          <w:rFonts w:ascii="Verdana" w:eastAsia="Times New Roman" w:hAnsi="Verdana" w:cs="Arial"/>
          <w:lang w:eastAsia="es-CL"/>
        </w:rPr>
        <w:t xml:space="preserve"> </w:t>
      </w:r>
      <w:r w:rsidR="00946176" w:rsidRPr="005E2835">
        <w:rPr>
          <w:rFonts w:ascii="Verdana" w:eastAsia="Times New Roman" w:hAnsi="Verdana" w:cs="Arial"/>
          <w:lang w:eastAsia="es-CL"/>
        </w:rPr>
        <w:t>Efectivamente es posible, incorporar este monto dentro del ítem personal dado que entre</w:t>
      </w:r>
      <w:r w:rsidR="00B4149C" w:rsidRPr="005E2835">
        <w:rPr>
          <w:rFonts w:ascii="Verdana" w:eastAsia="Times New Roman" w:hAnsi="Verdana" w:cs="Arial"/>
          <w:lang w:eastAsia="es-CL"/>
        </w:rPr>
        <w:t xml:space="preserve"> los gastos necesarios para apoyar el proceso de formalización </w:t>
      </w:r>
      <w:r w:rsidR="00946176" w:rsidRPr="005E2835">
        <w:rPr>
          <w:rFonts w:ascii="Verdana" w:eastAsia="Times New Roman" w:hAnsi="Verdana" w:cs="Arial"/>
          <w:lang w:eastAsia="es-CL"/>
        </w:rPr>
        <w:t xml:space="preserve">es necesaria </w:t>
      </w:r>
      <w:r w:rsidR="00DB08FE" w:rsidRPr="005E2835">
        <w:rPr>
          <w:rFonts w:ascii="Verdana" w:eastAsia="Times New Roman" w:hAnsi="Verdana" w:cs="Arial"/>
          <w:lang w:eastAsia="es-CL"/>
        </w:rPr>
        <w:t xml:space="preserve">la asesoría profesional que se entrega hacia el comité organizador </w:t>
      </w:r>
      <w:r w:rsidR="00B4149C" w:rsidRPr="005E2835">
        <w:rPr>
          <w:rFonts w:ascii="Verdana" w:eastAsia="Times New Roman" w:hAnsi="Verdana" w:cs="Arial"/>
          <w:lang w:eastAsia="es-CL"/>
        </w:rPr>
        <w:t>e</w:t>
      </w:r>
      <w:r w:rsidR="00DB08FE" w:rsidRPr="005E2835">
        <w:rPr>
          <w:rFonts w:ascii="Verdana" w:eastAsia="Times New Roman" w:hAnsi="Verdana" w:cs="Arial"/>
          <w:lang w:eastAsia="es-CL"/>
        </w:rPr>
        <w:t>n</w:t>
      </w:r>
      <w:r w:rsidR="00B4149C" w:rsidRPr="005E2835">
        <w:rPr>
          <w:rFonts w:ascii="Verdana" w:eastAsia="Times New Roman" w:hAnsi="Verdana" w:cs="Arial"/>
          <w:lang w:eastAsia="es-CL"/>
        </w:rPr>
        <w:t xml:space="preserve"> </w:t>
      </w:r>
      <w:r w:rsidR="00DB08FE" w:rsidRPr="005E2835">
        <w:rPr>
          <w:rFonts w:ascii="Verdana" w:eastAsia="Times New Roman" w:hAnsi="Verdana" w:cs="Arial"/>
          <w:lang w:eastAsia="es-CL"/>
        </w:rPr>
        <w:lastRenderedPageBreak/>
        <w:t xml:space="preserve">cuanto a </w:t>
      </w:r>
      <w:r w:rsidR="00B4149C" w:rsidRPr="005E2835">
        <w:rPr>
          <w:rFonts w:ascii="Verdana" w:eastAsia="Times New Roman" w:hAnsi="Verdana" w:cs="Arial"/>
          <w:lang w:eastAsia="es-CL"/>
        </w:rPr>
        <w:t xml:space="preserve">la generación de los estatutos, </w:t>
      </w:r>
      <w:r w:rsidR="00946176" w:rsidRPr="005E2835">
        <w:rPr>
          <w:rFonts w:ascii="Verdana" w:eastAsia="Times New Roman" w:hAnsi="Verdana" w:cs="Arial"/>
          <w:lang w:eastAsia="es-CL"/>
        </w:rPr>
        <w:t xml:space="preserve">la realización de </w:t>
      </w:r>
      <w:r w:rsidR="00DB08FE" w:rsidRPr="005E2835">
        <w:rPr>
          <w:rFonts w:ascii="Verdana" w:eastAsia="Times New Roman" w:hAnsi="Verdana" w:cs="Arial"/>
          <w:lang w:eastAsia="es-CL"/>
        </w:rPr>
        <w:t xml:space="preserve">la junta general constitutiva de la cooperativa, el acta que se debe realizar y </w:t>
      </w:r>
      <w:r w:rsidR="00946176" w:rsidRPr="005E2835">
        <w:rPr>
          <w:rFonts w:ascii="Verdana" w:eastAsia="Times New Roman" w:hAnsi="Verdana" w:cs="Arial"/>
          <w:lang w:eastAsia="es-CL"/>
        </w:rPr>
        <w:t>su</w:t>
      </w:r>
      <w:r w:rsidR="00DB08FE" w:rsidRPr="005E2835">
        <w:rPr>
          <w:rFonts w:ascii="Verdana" w:eastAsia="Times New Roman" w:hAnsi="Verdana" w:cs="Arial"/>
          <w:lang w:eastAsia="es-CL"/>
        </w:rPr>
        <w:t xml:space="preserve"> extracto</w:t>
      </w:r>
      <w:r w:rsidR="00946176" w:rsidRPr="005E2835">
        <w:rPr>
          <w:rFonts w:ascii="Verdana" w:eastAsia="Times New Roman" w:hAnsi="Verdana" w:cs="Arial"/>
          <w:lang w:eastAsia="es-CL"/>
        </w:rPr>
        <w:t xml:space="preserve">. </w:t>
      </w:r>
    </w:p>
    <w:p w14:paraId="5722FA51" w14:textId="77777777" w:rsidR="005E2835" w:rsidRDefault="005E2835" w:rsidP="005E2835">
      <w:pPr>
        <w:spacing w:after="0" w:line="240" w:lineRule="auto"/>
        <w:jc w:val="both"/>
        <w:rPr>
          <w:rFonts w:ascii="Verdana" w:eastAsia="Times New Roman" w:hAnsi="Verdana" w:cs="Arial"/>
          <w:lang w:eastAsia="es-CL"/>
        </w:rPr>
      </w:pPr>
    </w:p>
    <w:p w14:paraId="17F37CC3" w14:textId="5FA4FA4B" w:rsidR="001E0406" w:rsidRPr="005E2835" w:rsidRDefault="00946176" w:rsidP="005E2835">
      <w:pPr>
        <w:spacing w:after="0" w:line="240" w:lineRule="auto"/>
        <w:jc w:val="both"/>
        <w:rPr>
          <w:rFonts w:ascii="Verdana" w:eastAsia="Times New Roman" w:hAnsi="Verdana" w:cs="Arial"/>
          <w:lang w:eastAsia="es-CL"/>
        </w:rPr>
      </w:pPr>
      <w:r w:rsidRPr="005E2835">
        <w:rPr>
          <w:rFonts w:ascii="Verdana" w:eastAsia="Times New Roman" w:hAnsi="Verdana" w:cs="Arial"/>
          <w:lang w:eastAsia="es-CL"/>
        </w:rPr>
        <w:t>En caso de que los gastos notariales y de gestión superen los $3.000.000 no es posible solicitar recursos adicionales. Eventualmente pudiese utilizarse saldos sin gastar del convenio general y solicitar una reasignación de ítems para cubrir esos gastos, en caso de ser necesario.</w:t>
      </w:r>
    </w:p>
    <w:p w14:paraId="03CD33A8" w14:textId="23AE8F6E" w:rsidR="00714FDA" w:rsidRPr="005E2835" w:rsidRDefault="00714FDA" w:rsidP="005E2835">
      <w:pPr>
        <w:spacing w:after="0" w:line="240" w:lineRule="auto"/>
        <w:jc w:val="both"/>
        <w:rPr>
          <w:rFonts w:ascii="Verdana" w:eastAsia="Times New Roman" w:hAnsi="Verdana" w:cs="Arial"/>
          <w:lang w:eastAsia="es-CL"/>
        </w:rPr>
      </w:pPr>
    </w:p>
    <w:p w14:paraId="23B8C598" w14:textId="77777777" w:rsidR="00714FDA" w:rsidRPr="005E2835" w:rsidRDefault="00714FDA" w:rsidP="005E2835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es-CL" w:eastAsia="es-CL"/>
        </w:rPr>
      </w:pPr>
    </w:p>
    <w:p w14:paraId="02812F24" w14:textId="73E3437B" w:rsidR="00714FDA" w:rsidRPr="005E2835" w:rsidRDefault="00714FDA" w:rsidP="005E2835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color w:val="222222"/>
          <w:lang w:val="es-CL" w:eastAsia="es-CL"/>
        </w:rPr>
      </w:pPr>
      <w:r w:rsidRPr="005E2835">
        <w:rPr>
          <w:rFonts w:ascii="Verdana" w:eastAsia="Times New Roman" w:hAnsi="Verdana"/>
          <w:b/>
          <w:color w:val="222222"/>
          <w:lang w:val="es-CL" w:eastAsia="es-CL"/>
        </w:rPr>
        <w:t>¿El vale vista emitido físicamente por la entidad bancaria (no se aceptarán vale vista electrónicos), Boleta de Garantía Bancaria o Póliza de Seguro se debe entregar una vez notificada la adjudicación del fondo y en conjunto con la firma del convenio?</w:t>
      </w:r>
    </w:p>
    <w:p w14:paraId="0BCBF87F" w14:textId="77777777" w:rsidR="008D55DC" w:rsidRPr="005E2835" w:rsidRDefault="008D55DC" w:rsidP="005E2835">
      <w:pPr>
        <w:pStyle w:val="Prrafodelista"/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222222"/>
          <w:lang w:val="es-CL" w:eastAsia="es-CL"/>
        </w:rPr>
      </w:pPr>
    </w:p>
    <w:p w14:paraId="4B83E444" w14:textId="78F571EC" w:rsidR="0008225D" w:rsidRPr="005E2835" w:rsidRDefault="005E2835" w:rsidP="005E2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5E2835">
        <w:rPr>
          <w:rFonts w:ascii="Verdana" w:hAnsi="Verdana" w:cs="Tahoma"/>
          <w:b/>
          <w:color w:val="222222"/>
          <w:shd w:val="clear" w:color="auto" w:fill="FFFFFF"/>
        </w:rPr>
        <w:t>RESP:</w:t>
      </w:r>
      <w:r>
        <w:rPr>
          <w:rFonts w:ascii="Verdana" w:hAnsi="Verdana" w:cs="Tahoma"/>
          <w:color w:val="222222"/>
          <w:shd w:val="clear" w:color="auto" w:fill="FFFFFF"/>
        </w:rPr>
        <w:t xml:space="preserve"> </w:t>
      </w:r>
      <w:r w:rsidR="002A600F" w:rsidRPr="005E2835">
        <w:rPr>
          <w:rFonts w:ascii="Verdana" w:hAnsi="Verdana" w:cs="Tahoma"/>
          <w:color w:val="222222"/>
          <w:shd w:val="clear" w:color="auto" w:fill="FFFFFF"/>
        </w:rPr>
        <w:t>En cuanto al</w:t>
      </w:r>
      <w:r w:rsidR="00781FA9" w:rsidRPr="005E2835">
        <w:rPr>
          <w:rFonts w:ascii="Verdana" w:hAnsi="Verdana" w:cs="Tahoma"/>
          <w:color w:val="222222"/>
          <w:shd w:val="clear" w:color="auto" w:fill="FFFFFF"/>
        </w:rPr>
        <w:t xml:space="preserve"> instrumento de garantía, se debe presentar una vez notificada la adjudicación, junto con el convenio firmado, información que se entregará a la institución que resulte adjudicada, en tanto monto y vigencia del instrumento.</w:t>
      </w:r>
    </w:p>
    <w:p w14:paraId="08AB2F49" w14:textId="1BDF1E22" w:rsidR="0008225D" w:rsidRDefault="0008225D" w:rsidP="001E0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es-CL"/>
        </w:rPr>
      </w:pPr>
    </w:p>
    <w:p w14:paraId="51A42714" w14:textId="29E68B1D" w:rsidR="0008225D" w:rsidRDefault="0008225D" w:rsidP="001E0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es-CL"/>
        </w:rPr>
      </w:pPr>
    </w:p>
    <w:p w14:paraId="0C73A3E4" w14:textId="77777777" w:rsidR="0008225D" w:rsidRDefault="0008225D" w:rsidP="001E0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es-CL"/>
        </w:rPr>
      </w:pPr>
    </w:p>
    <w:sectPr w:rsidR="0008225D" w:rsidSect="0015431F">
      <w:headerReference w:type="default" r:id="rId9"/>
      <w:footerReference w:type="default" r:id="rId10"/>
      <w:pgSz w:w="12240" w:h="15840" w:code="1"/>
      <w:pgMar w:top="1985" w:right="1467" w:bottom="1417" w:left="1559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DB386" w14:textId="77777777" w:rsidR="00A3456A" w:rsidRDefault="00A3456A" w:rsidP="00083EF5">
      <w:pPr>
        <w:spacing w:after="0" w:line="240" w:lineRule="auto"/>
      </w:pPr>
      <w:r>
        <w:separator/>
      </w:r>
    </w:p>
  </w:endnote>
  <w:endnote w:type="continuationSeparator" w:id="0">
    <w:p w14:paraId="66F4D8F4" w14:textId="77777777" w:rsidR="00A3456A" w:rsidRDefault="00A3456A" w:rsidP="0008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7ACDB" w14:textId="247C91A9" w:rsidR="00811167" w:rsidRPr="00083EF5" w:rsidRDefault="00811167">
    <w:pPr>
      <w:pStyle w:val="Piedepgina"/>
      <w:jc w:val="center"/>
      <w:rPr>
        <w:rFonts w:ascii="Verdana" w:hAnsi="Verdana"/>
      </w:rPr>
    </w:pPr>
    <w:r w:rsidRPr="00083EF5">
      <w:rPr>
        <w:rFonts w:ascii="Verdana" w:hAnsi="Verdana"/>
      </w:rPr>
      <w:fldChar w:fldCharType="begin"/>
    </w:r>
    <w:r w:rsidRPr="00083EF5">
      <w:rPr>
        <w:rFonts w:ascii="Verdana" w:hAnsi="Verdana"/>
      </w:rPr>
      <w:instrText>PAGE   \* MERGEFORMAT</w:instrText>
    </w:r>
    <w:r w:rsidRPr="00083EF5">
      <w:rPr>
        <w:rFonts w:ascii="Verdana" w:hAnsi="Verdana"/>
      </w:rPr>
      <w:fldChar w:fldCharType="separate"/>
    </w:r>
    <w:r w:rsidR="005E2835">
      <w:rPr>
        <w:rFonts w:ascii="Verdana" w:hAnsi="Verdana"/>
        <w:noProof/>
      </w:rPr>
      <w:t>3</w:t>
    </w:r>
    <w:r w:rsidRPr="00083EF5">
      <w:rPr>
        <w:rFonts w:ascii="Verdana" w:hAnsi="Verdana"/>
      </w:rPr>
      <w:fldChar w:fldCharType="end"/>
    </w:r>
  </w:p>
  <w:p w14:paraId="4CEF03BB" w14:textId="77777777" w:rsidR="00811167" w:rsidRDefault="00811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BD2B" w14:textId="77777777" w:rsidR="00A3456A" w:rsidRDefault="00A3456A" w:rsidP="00083EF5">
      <w:pPr>
        <w:spacing w:after="0" w:line="240" w:lineRule="auto"/>
      </w:pPr>
      <w:r>
        <w:separator/>
      </w:r>
    </w:p>
  </w:footnote>
  <w:footnote w:type="continuationSeparator" w:id="0">
    <w:p w14:paraId="7197CC5E" w14:textId="77777777" w:rsidR="00A3456A" w:rsidRDefault="00A3456A" w:rsidP="0008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7659" w14:textId="77777777" w:rsidR="00811167" w:rsidRPr="00E17E78" w:rsidRDefault="00811167" w:rsidP="00531536">
    <w:pPr>
      <w:pStyle w:val="Encabezado"/>
      <w:spacing w:after="0"/>
      <w:jc w:val="right"/>
      <w:rPr>
        <w:rFonts w:ascii="Verdana" w:hAnsi="Verdana"/>
        <w:sz w:val="16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CCD9013" wp14:editId="051D0F55">
          <wp:simplePos x="0" y="0"/>
          <wp:positionH relativeFrom="column">
            <wp:posOffset>-41910</wp:posOffset>
          </wp:positionH>
          <wp:positionV relativeFrom="paragraph">
            <wp:posOffset>-313055</wp:posOffset>
          </wp:positionV>
          <wp:extent cx="771525" cy="698500"/>
          <wp:effectExtent l="0" t="0" r="9525" b="6350"/>
          <wp:wrapNone/>
          <wp:docPr id="3" name="image1.jpg" descr="Logo SENADIS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ENADIS (CMY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E78">
      <w:rPr>
        <w:rFonts w:ascii="Verdana" w:hAnsi="Verdana"/>
        <w:sz w:val="16"/>
      </w:rPr>
      <w:t>RESPUESTAS A CONSULTAS A LAS BASES</w:t>
    </w:r>
  </w:p>
  <w:p w14:paraId="43FF2061" w14:textId="4BF90A7E" w:rsidR="00811167" w:rsidRPr="00E17E78" w:rsidRDefault="00811167" w:rsidP="00531536">
    <w:pPr>
      <w:pStyle w:val="Encabezado"/>
      <w:spacing w:after="0"/>
      <w:jc w:val="right"/>
      <w:rPr>
        <w:rFonts w:ascii="Verdana" w:hAnsi="Verdana"/>
        <w:sz w:val="16"/>
      </w:rPr>
    </w:pPr>
    <w:r w:rsidRPr="00E17E78">
      <w:rPr>
        <w:rFonts w:ascii="Verdana" w:hAnsi="Verdana"/>
        <w:sz w:val="16"/>
      </w:rPr>
      <w:t>FONAPI</w:t>
    </w:r>
    <w:r>
      <w:rPr>
        <w:rFonts w:ascii="Verdana" w:hAnsi="Verdana"/>
        <w:sz w:val="16"/>
      </w:rPr>
      <w:t xml:space="preserve">- PARTICIPACIÓN INCLUSIVA TERRITORIAL </w:t>
    </w:r>
    <w:r w:rsidRPr="00E17E78">
      <w:rPr>
        <w:rFonts w:ascii="Verdana" w:hAnsi="Verdana"/>
        <w:sz w:val="16"/>
      </w:rPr>
      <w:t>20</w:t>
    </w:r>
    <w:r>
      <w:rPr>
        <w:rFonts w:ascii="Verdana" w:hAnsi="Verdana"/>
        <w:sz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D3A"/>
    <w:multiLevelType w:val="hybridMultilevel"/>
    <w:tmpl w:val="4E8007A6"/>
    <w:lvl w:ilvl="0" w:tplc="5F34B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09F6"/>
    <w:multiLevelType w:val="multilevel"/>
    <w:tmpl w:val="C21E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44813"/>
    <w:multiLevelType w:val="hybridMultilevel"/>
    <w:tmpl w:val="A118B04C"/>
    <w:lvl w:ilvl="0" w:tplc="8732260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031"/>
    <w:multiLevelType w:val="hybridMultilevel"/>
    <w:tmpl w:val="F9C0C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6F96"/>
    <w:multiLevelType w:val="hybridMultilevel"/>
    <w:tmpl w:val="1E02AE28"/>
    <w:lvl w:ilvl="0" w:tplc="4DB0B69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02D1"/>
    <w:multiLevelType w:val="multilevel"/>
    <w:tmpl w:val="927C37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5F2F43"/>
    <w:multiLevelType w:val="multilevel"/>
    <w:tmpl w:val="950C8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4409F"/>
    <w:multiLevelType w:val="hybridMultilevel"/>
    <w:tmpl w:val="D014423A"/>
    <w:lvl w:ilvl="0" w:tplc="D8E4358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C60120"/>
    <w:multiLevelType w:val="hybridMultilevel"/>
    <w:tmpl w:val="BAB8C1CA"/>
    <w:lvl w:ilvl="0" w:tplc="F3EEB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5D3E"/>
    <w:multiLevelType w:val="hybridMultilevel"/>
    <w:tmpl w:val="F2CC20F2"/>
    <w:lvl w:ilvl="0" w:tplc="B75CCCD8">
      <w:start w:val="5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9B4"/>
    <w:multiLevelType w:val="hybridMultilevel"/>
    <w:tmpl w:val="F920D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D030E"/>
    <w:multiLevelType w:val="hybridMultilevel"/>
    <w:tmpl w:val="F63E47AA"/>
    <w:lvl w:ilvl="0" w:tplc="D14A7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1AC"/>
    <w:multiLevelType w:val="multilevel"/>
    <w:tmpl w:val="610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C6D0B"/>
    <w:multiLevelType w:val="multilevel"/>
    <w:tmpl w:val="01BC07EA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4BF15DF"/>
    <w:multiLevelType w:val="hybridMultilevel"/>
    <w:tmpl w:val="771E3E4A"/>
    <w:lvl w:ilvl="0" w:tplc="1C623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410A8"/>
    <w:multiLevelType w:val="hybridMultilevel"/>
    <w:tmpl w:val="A1B2A3E4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7E52"/>
    <w:multiLevelType w:val="multilevel"/>
    <w:tmpl w:val="C0F404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D5EF8"/>
    <w:multiLevelType w:val="hybridMultilevel"/>
    <w:tmpl w:val="2D963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45785"/>
    <w:multiLevelType w:val="hybridMultilevel"/>
    <w:tmpl w:val="1A3CD1C4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E56EB"/>
    <w:multiLevelType w:val="multilevel"/>
    <w:tmpl w:val="6EC4B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51D52"/>
    <w:multiLevelType w:val="hybridMultilevel"/>
    <w:tmpl w:val="7D20B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1D47"/>
    <w:multiLevelType w:val="hybridMultilevel"/>
    <w:tmpl w:val="DB40D442"/>
    <w:lvl w:ilvl="0" w:tplc="68C0225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F7426"/>
    <w:multiLevelType w:val="hybridMultilevel"/>
    <w:tmpl w:val="D2E64BFC"/>
    <w:lvl w:ilvl="0" w:tplc="BE1E2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37F6"/>
    <w:multiLevelType w:val="hybridMultilevel"/>
    <w:tmpl w:val="81B44CB2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70E5B"/>
    <w:multiLevelType w:val="hybridMultilevel"/>
    <w:tmpl w:val="2D78C53E"/>
    <w:lvl w:ilvl="0" w:tplc="75BE99BC">
      <w:start w:val="1"/>
      <w:numFmt w:val="decimal"/>
      <w:pStyle w:val="Ttulo1"/>
      <w:lvlText w:val="%1."/>
      <w:lvlJc w:val="left"/>
      <w:pPr>
        <w:ind w:left="1080" w:hanging="720"/>
      </w:pPr>
      <w:rPr>
        <w:rFonts w:hint="default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3DF0"/>
    <w:multiLevelType w:val="hybridMultilevel"/>
    <w:tmpl w:val="4448F21A"/>
    <w:lvl w:ilvl="0" w:tplc="544667B6">
      <w:start w:val="9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32B81"/>
    <w:multiLevelType w:val="hybridMultilevel"/>
    <w:tmpl w:val="CE5AEC1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365C4"/>
    <w:multiLevelType w:val="hybridMultilevel"/>
    <w:tmpl w:val="A028B4EC"/>
    <w:lvl w:ilvl="0" w:tplc="7646B7F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90897"/>
    <w:multiLevelType w:val="hybridMultilevel"/>
    <w:tmpl w:val="DFCC1430"/>
    <w:lvl w:ilvl="0" w:tplc="B7DAD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F0963"/>
    <w:multiLevelType w:val="hybridMultilevel"/>
    <w:tmpl w:val="4C6C4F44"/>
    <w:lvl w:ilvl="0" w:tplc="6BE4985C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B5206"/>
    <w:multiLevelType w:val="hybridMultilevel"/>
    <w:tmpl w:val="3AF07CC8"/>
    <w:lvl w:ilvl="0" w:tplc="87008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F29D4"/>
    <w:multiLevelType w:val="hybridMultilevel"/>
    <w:tmpl w:val="2F923E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C3568"/>
    <w:multiLevelType w:val="multilevel"/>
    <w:tmpl w:val="13EE1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B3168"/>
    <w:multiLevelType w:val="hybridMultilevel"/>
    <w:tmpl w:val="C090D1D8"/>
    <w:lvl w:ilvl="0" w:tplc="857C8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740B8"/>
    <w:multiLevelType w:val="hybridMultilevel"/>
    <w:tmpl w:val="288CD708"/>
    <w:lvl w:ilvl="0" w:tplc="61BE48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7F2"/>
    <w:multiLevelType w:val="hybridMultilevel"/>
    <w:tmpl w:val="B72A66AE"/>
    <w:lvl w:ilvl="0" w:tplc="BE5413D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909"/>
    <w:multiLevelType w:val="hybridMultilevel"/>
    <w:tmpl w:val="A4A60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7"/>
  </w:num>
  <w:num w:numId="5">
    <w:abstractNumId w:val="30"/>
  </w:num>
  <w:num w:numId="6">
    <w:abstractNumId w:val="9"/>
  </w:num>
  <w:num w:numId="7">
    <w:abstractNumId w:val="28"/>
  </w:num>
  <w:num w:numId="8">
    <w:abstractNumId w:val="35"/>
  </w:num>
  <w:num w:numId="9">
    <w:abstractNumId w:val="33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32"/>
    <w:lvlOverride w:ilvl="0">
      <w:lvl w:ilvl="0">
        <w:numFmt w:val="decimal"/>
        <w:lvlText w:val="%1."/>
        <w:lvlJc w:val="left"/>
      </w:lvl>
    </w:lvlOverride>
  </w:num>
  <w:num w:numId="20">
    <w:abstractNumId w:val="36"/>
  </w:num>
  <w:num w:numId="21">
    <w:abstractNumId w:val="22"/>
  </w:num>
  <w:num w:numId="22">
    <w:abstractNumId w:val="0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5"/>
  </w:num>
  <w:num w:numId="28">
    <w:abstractNumId w:val="18"/>
  </w:num>
  <w:num w:numId="29">
    <w:abstractNumId w:val="29"/>
  </w:num>
  <w:num w:numId="30">
    <w:abstractNumId w:val="17"/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34"/>
  </w:num>
  <w:num w:numId="34">
    <w:abstractNumId w:val="31"/>
  </w:num>
  <w:num w:numId="35">
    <w:abstractNumId w:val="3"/>
  </w:num>
  <w:num w:numId="36">
    <w:abstractNumId w:val="23"/>
  </w:num>
  <w:num w:numId="37">
    <w:abstractNumId w:val="25"/>
  </w:num>
  <w:num w:numId="38">
    <w:abstractNumId w:val="11"/>
  </w:num>
  <w:num w:numId="3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56"/>
    <w:rsid w:val="0001287E"/>
    <w:rsid w:val="00054641"/>
    <w:rsid w:val="00057C73"/>
    <w:rsid w:val="00072AED"/>
    <w:rsid w:val="0008225D"/>
    <w:rsid w:val="00083EF5"/>
    <w:rsid w:val="00096C9D"/>
    <w:rsid w:val="000C0438"/>
    <w:rsid w:val="000C13F4"/>
    <w:rsid w:val="000C67DA"/>
    <w:rsid w:val="000C75E2"/>
    <w:rsid w:val="000F0A67"/>
    <w:rsid w:val="0010727A"/>
    <w:rsid w:val="00130D5F"/>
    <w:rsid w:val="0015431F"/>
    <w:rsid w:val="00180B72"/>
    <w:rsid w:val="001A7ECD"/>
    <w:rsid w:val="001C0181"/>
    <w:rsid w:val="001C329B"/>
    <w:rsid w:val="001D38E0"/>
    <w:rsid w:val="001E0406"/>
    <w:rsid w:val="001E0897"/>
    <w:rsid w:val="001E22E5"/>
    <w:rsid w:val="00205CCA"/>
    <w:rsid w:val="002238CD"/>
    <w:rsid w:val="0023134E"/>
    <w:rsid w:val="00241E61"/>
    <w:rsid w:val="002539EA"/>
    <w:rsid w:val="002571B6"/>
    <w:rsid w:val="00271CF2"/>
    <w:rsid w:val="00282014"/>
    <w:rsid w:val="00284B21"/>
    <w:rsid w:val="00291994"/>
    <w:rsid w:val="00293CB6"/>
    <w:rsid w:val="002A5944"/>
    <w:rsid w:val="002A600F"/>
    <w:rsid w:val="002B120F"/>
    <w:rsid w:val="002E5375"/>
    <w:rsid w:val="002F41AB"/>
    <w:rsid w:val="003079B2"/>
    <w:rsid w:val="00316B5B"/>
    <w:rsid w:val="00317516"/>
    <w:rsid w:val="00344891"/>
    <w:rsid w:val="003466C1"/>
    <w:rsid w:val="003502BC"/>
    <w:rsid w:val="00364D8D"/>
    <w:rsid w:val="003932AB"/>
    <w:rsid w:val="003A042B"/>
    <w:rsid w:val="003B3656"/>
    <w:rsid w:val="003E6D9C"/>
    <w:rsid w:val="003F31A7"/>
    <w:rsid w:val="003F7B75"/>
    <w:rsid w:val="00423DB1"/>
    <w:rsid w:val="0042502C"/>
    <w:rsid w:val="00444EC3"/>
    <w:rsid w:val="00473604"/>
    <w:rsid w:val="00484D16"/>
    <w:rsid w:val="00497DB2"/>
    <w:rsid w:val="004B0D21"/>
    <w:rsid w:val="004B4938"/>
    <w:rsid w:val="004B6110"/>
    <w:rsid w:val="00514BD6"/>
    <w:rsid w:val="00517706"/>
    <w:rsid w:val="00531536"/>
    <w:rsid w:val="0055222F"/>
    <w:rsid w:val="00555B3F"/>
    <w:rsid w:val="00573567"/>
    <w:rsid w:val="00580969"/>
    <w:rsid w:val="0058496B"/>
    <w:rsid w:val="00597E9D"/>
    <w:rsid w:val="005C06DF"/>
    <w:rsid w:val="005D1EF4"/>
    <w:rsid w:val="005E2835"/>
    <w:rsid w:val="005E704E"/>
    <w:rsid w:val="005F6626"/>
    <w:rsid w:val="00617AF4"/>
    <w:rsid w:val="00622466"/>
    <w:rsid w:val="0063398B"/>
    <w:rsid w:val="006703BE"/>
    <w:rsid w:val="00683DB4"/>
    <w:rsid w:val="006D0172"/>
    <w:rsid w:val="006E214C"/>
    <w:rsid w:val="006F26FD"/>
    <w:rsid w:val="00714FDA"/>
    <w:rsid w:val="00731930"/>
    <w:rsid w:val="00731C49"/>
    <w:rsid w:val="00745DEF"/>
    <w:rsid w:val="007569E1"/>
    <w:rsid w:val="00764067"/>
    <w:rsid w:val="00781FA9"/>
    <w:rsid w:val="007B64C4"/>
    <w:rsid w:val="007B68B2"/>
    <w:rsid w:val="007C092C"/>
    <w:rsid w:val="007C4BE5"/>
    <w:rsid w:val="007C7325"/>
    <w:rsid w:val="007C7837"/>
    <w:rsid w:val="007D7018"/>
    <w:rsid w:val="007E6339"/>
    <w:rsid w:val="007F5B6A"/>
    <w:rsid w:val="0080629E"/>
    <w:rsid w:val="00811167"/>
    <w:rsid w:val="008211BC"/>
    <w:rsid w:val="0083786A"/>
    <w:rsid w:val="00852E8C"/>
    <w:rsid w:val="00877A23"/>
    <w:rsid w:val="008B0424"/>
    <w:rsid w:val="008B10CF"/>
    <w:rsid w:val="008B2654"/>
    <w:rsid w:val="008B2EA5"/>
    <w:rsid w:val="008C1F08"/>
    <w:rsid w:val="008D55DC"/>
    <w:rsid w:val="008F2EB1"/>
    <w:rsid w:val="00946176"/>
    <w:rsid w:val="0094689E"/>
    <w:rsid w:val="00963C76"/>
    <w:rsid w:val="00965491"/>
    <w:rsid w:val="00986D27"/>
    <w:rsid w:val="009928E0"/>
    <w:rsid w:val="009D0422"/>
    <w:rsid w:val="009E1EE0"/>
    <w:rsid w:val="009F7363"/>
    <w:rsid w:val="00A239FE"/>
    <w:rsid w:val="00A3456A"/>
    <w:rsid w:val="00A40BB7"/>
    <w:rsid w:val="00A55954"/>
    <w:rsid w:val="00A6575C"/>
    <w:rsid w:val="00A86E22"/>
    <w:rsid w:val="00A92C31"/>
    <w:rsid w:val="00A97E30"/>
    <w:rsid w:val="00AB150B"/>
    <w:rsid w:val="00AD62B1"/>
    <w:rsid w:val="00AF45C1"/>
    <w:rsid w:val="00B3560A"/>
    <w:rsid w:val="00B4149C"/>
    <w:rsid w:val="00B46E4D"/>
    <w:rsid w:val="00B55826"/>
    <w:rsid w:val="00B601D8"/>
    <w:rsid w:val="00B7351D"/>
    <w:rsid w:val="00B741EC"/>
    <w:rsid w:val="00BA3EE8"/>
    <w:rsid w:val="00BC26E4"/>
    <w:rsid w:val="00BC2D94"/>
    <w:rsid w:val="00BD04B3"/>
    <w:rsid w:val="00BE28FD"/>
    <w:rsid w:val="00BF45E2"/>
    <w:rsid w:val="00C12233"/>
    <w:rsid w:val="00C25DB6"/>
    <w:rsid w:val="00C30AF5"/>
    <w:rsid w:val="00C37C3C"/>
    <w:rsid w:val="00C464C3"/>
    <w:rsid w:val="00C55F7C"/>
    <w:rsid w:val="00C57235"/>
    <w:rsid w:val="00C614D7"/>
    <w:rsid w:val="00C74863"/>
    <w:rsid w:val="00C80F3F"/>
    <w:rsid w:val="00C90900"/>
    <w:rsid w:val="00CA6DAA"/>
    <w:rsid w:val="00CC48C7"/>
    <w:rsid w:val="00CD09C2"/>
    <w:rsid w:val="00CE3106"/>
    <w:rsid w:val="00CE3DAC"/>
    <w:rsid w:val="00D238D9"/>
    <w:rsid w:val="00D41088"/>
    <w:rsid w:val="00D66054"/>
    <w:rsid w:val="00D72F16"/>
    <w:rsid w:val="00D81615"/>
    <w:rsid w:val="00D93EBD"/>
    <w:rsid w:val="00DB08FE"/>
    <w:rsid w:val="00DB3CDD"/>
    <w:rsid w:val="00DC2512"/>
    <w:rsid w:val="00E17E78"/>
    <w:rsid w:val="00E23853"/>
    <w:rsid w:val="00E3269D"/>
    <w:rsid w:val="00E35EAA"/>
    <w:rsid w:val="00E41E53"/>
    <w:rsid w:val="00E464BD"/>
    <w:rsid w:val="00E57103"/>
    <w:rsid w:val="00E637DB"/>
    <w:rsid w:val="00E71379"/>
    <w:rsid w:val="00E80EF2"/>
    <w:rsid w:val="00ED3ABA"/>
    <w:rsid w:val="00EE7CD2"/>
    <w:rsid w:val="00F0727D"/>
    <w:rsid w:val="00F1334E"/>
    <w:rsid w:val="00F13C50"/>
    <w:rsid w:val="00F4337F"/>
    <w:rsid w:val="00F63245"/>
    <w:rsid w:val="00F8199A"/>
    <w:rsid w:val="00FB1B8D"/>
    <w:rsid w:val="00FC39E6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977AF"/>
  <w15:chartTrackingRefBased/>
  <w15:docId w15:val="{DE993036-169F-4A8F-B612-BE010D38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464C3"/>
    <w:pPr>
      <w:keepNext/>
      <w:numPr>
        <w:numId w:val="23"/>
      </w:numPr>
      <w:spacing w:before="240" w:after="60"/>
      <w:outlineLvl w:val="0"/>
    </w:pPr>
    <w:rPr>
      <w:rFonts w:ascii="Verdana" w:eastAsia="Times New Roman" w:hAnsi="Verdana"/>
      <w:b/>
      <w:bCs/>
      <w:color w:val="2E74B5" w:themeColor="accent1" w:themeShade="BF"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464C3"/>
    <w:rPr>
      <w:rFonts w:ascii="Verdana" w:eastAsia="Times New Roman" w:hAnsi="Verdana"/>
      <w:b/>
      <w:bCs/>
      <w:color w:val="2E74B5" w:themeColor="accent1" w:themeShade="BF"/>
      <w:kern w:val="32"/>
      <w:sz w:val="28"/>
      <w:szCs w:val="32"/>
      <w:lang w:eastAsia="en-US"/>
    </w:rPr>
  </w:style>
  <w:style w:type="character" w:styleId="Hipervnculo">
    <w:name w:val="Hyperlink"/>
    <w:uiPriority w:val="99"/>
    <w:unhideWhenUsed/>
    <w:rsid w:val="002539EA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7ECD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1A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7E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A7E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7E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7ECD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CE3D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3E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3EF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83E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3EF5"/>
    <w:rPr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B6110"/>
    <w:pPr>
      <w:keepLines/>
      <w:spacing w:after="0"/>
      <w:outlineLvl w:val="9"/>
    </w:pPr>
    <w:rPr>
      <w:b w:val="0"/>
      <w:bCs w:val="0"/>
      <w:color w:val="2E74B5"/>
      <w:kern w:val="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E2835"/>
    <w:pPr>
      <w:tabs>
        <w:tab w:val="right" w:leader="dot" w:pos="9204"/>
      </w:tabs>
      <w:spacing w:before="120" w:after="0"/>
      <w:jc w:val="both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6110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611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177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17706"/>
    <w:rPr>
      <w:rFonts w:ascii="Consolas" w:hAnsi="Consolas"/>
      <w:lang w:eastAsia="en-US"/>
    </w:rPr>
  </w:style>
  <w:style w:type="paragraph" w:customStyle="1" w:styleId="Default">
    <w:name w:val="Default"/>
    <w:rsid w:val="005D1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2E5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MX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80B72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80B72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80B72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80B72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80B72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80B72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1E0406"/>
    <w:rPr>
      <w:rFonts w:asciiTheme="minorHAnsi" w:eastAsiaTheme="minorHAnsi" w:hAnsiTheme="minorHAnsi" w:cstheme="minorBidi"/>
      <w:sz w:val="24"/>
      <w:szCs w:val="24"/>
      <w:lang w:val="es-MX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1597-FDF8-4EFF-95D5-6CDB8697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Links>
    <vt:vector size="72" baseType="variant">
      <vt:variant>
        <vt:i4>2621546</vt:i4>
      </vt:variant>
      <vt:variant>
        <vt:i4>54</vt:i4>
      </vt:variant>
      <vt:variant>
        <vt:i4>0</vt:i4>
      </vt:variant>
      <vt:variant>
        <vt:i4>5</vt:i4>
      </vt:variant>
      <vt:variant>
        <vt:lpwstr>https://www.registros19862.cl/</vt:lpwstr>
      </vt:variant>
      <vt:variant>
        <vt:lpwstr/>
      </vt:variant>
      <vt:variant>
        <vt:i4>3801146</vt:i4>
      </vt:variant>
      <vt:variant>
        <vt:i4>51</vt:i4>
      </vt:variant>
      <vt:variant>
        <vt:i4>0</vt:i4>
      </vt:variant>
      <vt:variant>
        <vt:i4>5</vt:i4>
      </vt:variant>
      <vt:variant>
        <vt:lpwstr>https://www.senadis.cl/pag/190/1408/direcciones_y_telefonos</vt:lpwstr>
      </vt:variant>
      <vt:variant>
        <vt:lpwstr/>
      </vt:variant>
      <vt:variant>
        <vt:i4>1376271</vt:i4>
      </vt:variant>
      <vt:variant>
        <vt:i4>48</vt:i4>
      </vt:variant>
      <vt:variant>
        <vt:i4>0</vt:i4>
      </vt:variant>
      <vt:variant>
        <vt:i4>5</vt:i4>
      </vt:variant>
      <vt:variant>
        <vt:lpwstr>https://www.senadis.cl/pag/532/1756/fondo_nacional_de_proyectos_inclusivos</vt:lpwstr>
      </vt:variant>
      <vt:variant>
        <vt:lpwstr/>
      </vt:variant>
      <vt:variant>
        <vt:i4>1900552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</vt:lpwstr>
      </vt:variant>
      <vt:variant>
        <vt:lpwstr/>
      </vt:variant>
      <vt:variant>
        <vt:i4>3801146</vt:i4>
      </vt:variant>
      <vt:variant>
        <vt:i4>42</vt:i4>
      </vt:variant>
      <vt:variant>
        <vt:i4>0</vt:i4>
      </vt:variant>
      <vt:variant>
        <vt:i4>5</vt:i4>
      </vt:variant>
      <vt:variant>
        <vt:lpwstr>https://www.senadis.cl/pag/190/1408/direcciones_y_telefonos</vt:lpwstr>
      </vt:variant>
      <vt:variant>
        <vt:lpwstr/>
      </vt:variant>
      <vt:variant>
        <vt:i4>1376271</vt:i4>
      </vt:variant>
      <vt:variant>
        <vt:i4>39</vt:i4>
      </vt:variant>
      <vt:variant>
        <vt:i4>0</vt:i4>
      </vt:variant>
      <vt:variant>
        <vt:i4>5</vt:i4>
      </vt:variant>
      <vt:variant>
        <vt:lpwstr>https://www.senadis.cl/pag/532/1756/fondo_nacional_de_proyectos_inclusivos</vt:lpwstr>
      </vt:variant>
      <vt:variant>
        <vt:lpwstr/>
      </vt:variant>
      <vt:variant>
        <vt:i4>2555919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_Toc8126578</vt:lpwstr>
      </vt:variant>
      <vt:variant>
        <vt:i4>2555919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_Toc8126577</vt:lpwstr>
      </vt:variant>
      <vt:variant>
        <vt:i4>2555919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_Toc8126576</vt:lpwstr>
      </vt:variant>
      <vt:variant>
        <vt:i4>2555919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_Toc8126575</vt:lpwstr>
      </vt:variant>
      <vt:variant>
        <vt:i4>2555919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_Toc8126574</vt:lpwstr>
      </vt:variant>
      <vt:variant>
        <vt:i4>2555919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_Toc8126573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Subirá Montengro</dc:creator>
  <cp:keywords/>
  <dc:description/>
  <cp:lastModifiedBy>isabel ojeda</cp:lastModifiedBy>
  <cp:revision>2</cp:revision>
  <cp:lastPrinted>2019-05-07T20:21:00Z</cp:lastPrinted>
  <dcterms:created xsi:type="dcterms:W3CDTF">2021-08-20T18:58:00Z</dcterms:created>
  <dcterms:modified xsi:type="dcterms:W3CDTF">2021-08-20T18:58:00Z</dcterms:modified>
</cp:coreProperties>
</file>