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TÉCNICO</w:t>
      </w: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 xml:space="preserve"> SECCIÓN ADQUISICIONES Y CONTRATACIONES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Etapas 0 y 1 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Admisibilidad y evaluación curricular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;Arial" w:hAnsi="Calibri;Arial" w:eastAsia="Times New Roman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;Arial" w:hAnsi="Calibri;Arial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  <w:t>18.747.914-2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las etapas </w:t>
      </w:r>
      <w:r>
        <w:rPr>
          <w:rFonts w:eastAsia="Times New Roman" w:cs="Calibri" w:ascii="Calibri" w:hAnsi="Calibri"/>
          <w:color w:val="auto"/>
          <w:kern w:val="0"/>
          <w:sz w:val="22"/>
          <w:szCs w:val="22"/>
          <w:lang w:val="es-ES" w:eastAsia="es-ES" w:bidi="ar-SA"/>
        </w:rPr>
        <w:t>0 y 1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75" y="0"/>
              <wp:lineTo x="-75" y="21079"/>
              <wp:lineTo x="20915" y="21079"/>
              <wp:lineTo x="20915" y="0"/>
              <wp:lineTo x="-75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6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LibreOffice/7.1.4.2$Windows_X86_64 LibreOffice_project/a529a4fab45b75fefc5b6226684193eb000654f6</Application>
  <AppVersion>15.0000</AppVersion>
  <Pages>1</Pages>
  <Words>55</Words>
  <Characters>314</Characters>
  <CharactersWithSpaces>814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2021-11-02T15:30:01Z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