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BFD79" w14:textId="77777777" w:rsidR="0089304D" w:rsidRDefault="00E03594">
      <w:pPr>
        <w:shd w:val="clear" w:color="auto" w:fill="FFFFFF"/>
        <w:spacing w:after="0" w:line="240" w:lineRule="auto"/>
        <w:rPr>
          <w:rFonts w:ascii="Arial" w:eastAsia="Arial" w:hAnsi="Arial" w:cs="Arial"/>
          <w:color w:val="222222"/>
          <w:sz w:val="20"/>
          <w:szCs w:val="20"/>
        </w:rPr>
      </w:pPr>
      <w:r>
        <w:rPr>
          <w:rFonts w:ascii="Arial" w:eastAsia="Arial" w:hAnsi="Arial" w:cs="Arial"/>
          <w:color w:val="222222"/>
          <w:sz w:val="20"/>
          <w:szCs w:val="20"/>
        </w:rPr>
        <w:t>SERVICIO NACIONAL DE LA DISCAPACIDAD</w:t>
      </w:r>
    </w:p>
    <w:p w14:paraId="7677F953" w14:textId="77777777" w:rsidR="0089304D" w:rsidRDefault="00E03594">
      <w:pPr>
        <w:shd w:val="clear" w:color="auto" w:fill="FFFFFF"/>
        <w:spacing w:after="0" w:line="240" w:lineRule="auto"/>
        <w:rPr>
          <w:rFonts w:ascii="Arial" w:eastAsia="Arial" w:hAnsi="Arial" w:cs="Arial"/>
          <w:color w:val="222222"/>
          <w:sz w:val="20"/>
          <w:szCs w:val="20"/>
        </w:rPr>
      </w:pPr>
      <w:r>
        <w:rPr>
          <w:rFonts w:ascii="Arial" w:eastAsia="Arial" w:hAnsi="Arial" w:cs="Arial"/>
          <w:color w:val="222222"/>
          <w:sz w:val="20"/>
          <w:szCs w:val="20"/>
        </w:rPr>
        <w:t>SENADIS</w:t>
      </w:r>
    </w:p>
    <w:p w14:paraId="73A4D46B" w14:textId="77777777" w:rsidR="0089304D" w:rsidRDefault="00E03594">
      <w:pPr>
        <w:shd w:val="clear" w:color="auto" w:fill="FFFFFF"/>
        <w:spacing w:after="0" w:line="240" w:lineRule="auto"/>
        <w:rPr>
          <w:rFonts w:ascii="Arial" w:eastAsia="Arial" w:hAnsi="Arial" w:cs="Arial"/>
          <w:color w:val="222222"/>
          <w:sz w:val="20"/>
          <w:szCs w:val="20"/>
        </w:rPr>
      </w:pPr>
      <w:r>
        <w:rPr>
          <w:rFonts w:ascii="Arial" w:eastAsia="Arial" w:hAnsi="Arial" w:cs="Arial"/>
          <w:color w:val="222222"/>
          <w:sz w:val="20"/>
          <w:szCs w:val="20"/>
        </w:rPr>
        <w:t>05-mayo-2022</w:t>
      </w:r>
    </w:p>
    <w:p w14:paraId="15760309" w14:textId="77777777" w:rsidR="0089304D" w:rsidRDefault="0089304D">
      <w:pPr>
        <w:shd w:val="clear" w:color="auto" w:fill="FFFFFF"/>
        <w:spacing w:after="0" w:line="240" w:lineRule="auto"/>
        <w:rPr>
          <w:rFonts w:ascii="Arial" w:eastAsia="Arial" w:hAnsi="Arial" w:cs="Arial"/>
          <w:b/>
          <w:color w:val="222222"/>
        </w:rPr>
      </w:pPr>
    </w:p>
    <w:p w14:paraId="5E7D355D" w14:textId="77777777" w:rsidR="00960991" w:rsidRDefault="00960991">
      <w:pPr>
        <w:shd w:val="clear" w:color="auto" w:fill="FFFFFF"/>
        <w:spacing w:after="0" w:line="240" w:lineRule="auto"/>
        <w:jc w:val="center"/>
        <w:rPr>
          <w:rFonts w:ascii="Arial" w:eastAsia="Arial" w:hAnsi="Arial" w:cs="Arial"/>
          <w:b/>
          <w:color w:val="222222"/>
        </w:rPr>
      </w:pPr>
    </w:p>
    <w:p w14:paraId="6B5F34FA" w14:textId="418D22CF" w:rsidR="0089304D" w:rsidRDefault="00E03594">
      <w:pPr>
        <w:shd w:val="clear" w:color="auto" w:fill="FFFFFF"/>
        <w:spacing w:after="0" w:line="240" w:lineRule="auto"/>
        <w:jc w:val="center"/>
        <w:rPr>
          <w:rFonts w:ascii="Arial" w:eastAsia="Arial" w:hAnsi="Arial" w:cs="Arial"/>
          <w:b/>
          <w:color w:val="222222"/>
        </w:rPr>
      </w:pPr>
      <w:r>
        <w:rPr>
          <w:rFonts w:ascii="Arial" w:eastAsia="Arial" w:hAnsi="Arial" w:cs="Arial"/>
          <w:b/>
          <w:color w:val="222222"/>
        </w:rPr>
        <w:t xml:space="preserve">Convocatoria Programa de Accesibilidad en Instituciones Públicas </w:t>
      </w:r>
      <w:r w:rsidR="005F328D">
        <w:rPr>
          <w:rFonts w:ascii="Arial" w:eastAsia="Arial" w:hAnsi="Arial" w:cs="Arial"/>
          <w:b/>
          <w:color w:val="222222"/>
        </w:rPr>
        <w:t>2022</w:t>
      </w:r>
    </w:p>
    <w:p w14:paraId="3E804A50" w14:textId="77777777" w:rsidR="0089304D" w:rsidRDefault="00E03594">
      <w:pPr>
        <w:shd w:val="clear" w:color="auto" w:fill="FFFFFF"/>
        <w:spacing w:after="0" w:line="240" w:lineRule="auto"/>
        <w:jc w:val="center"/>
        <w:rPr>
          <w:rFonts w:ascii="Arial" w:eastAsia="Arial" w:hAnsi="Arial" w:cs="Arial"/>
          <w:b/>
          <w:color w:val="222222"/>
        </w:rPr>
      </w:pPr>
      <w:r>
        <w:rPr>
          <w:rFonts w:ascii="Arial" w:eastAsia="Arial" w:hAnsi="Arial" w:cs="Arial"/>
          <w:b/>
          <w:color w:val="222222"/>
        </w:rPr>
        <w:t>Consolidado de respuestas a consultas</w:t>
      </w:r>
    </w:p>
    <w:p w14:paraId="5AAFC3B1" w14:textId="77777777" w:rsidR="0089304D" w:rsidRDefault="0089304D">
      <w:pPr>
        <w:shd w:val="clear" w:color="auto" w:fill="FFFFFF"/>
        <w:spacing w:after="0" w:line="240" w:lineRule="auto"/>
        <w:jc w:val="center"/>
        <w:rPr>
          <w:rFonts w:ascii="Arial" w:eastAsia="Arial" w:hAnsi="Arial" w:cs="Arial"/>
          <w:b/>
          <w:color w:val="222222"/>
        </w:rPr>
      </w:pPr>
    </w:p>
    <w:p w14:paraId="23F334F8" w14:textId="77777777" w:rsidR="0089304D" w:rsidRDefault="00E03594" w:rsidP="005F328D">
      <w:pPr>
        <w:shd w:val="clear" w:color="auto" w:fill="FFFFFF"/>
        <w:spacing w:after="280" w:line="240" w:lineRule="auto"/>
        <w:jc w:val="both"/>
        <w:rPr>
          <w:rFonts w:ascii="Arial" w:eastAsia="Arial" w:hAnsi="Arial" w:cs="Arial"/>
          <w:color w:val="222222"/>
        </w:rPr>
      </w:pPr>
      <w:r>
        <w:rPr>
          <w:rFonts w:ascii="Arial" w:eastAsia="Arial" w:hAnsi="Arial" w:cs="Arial"/>
          <w:color w:val="222222"/>
        </w:rPr>
        <w:t>De acuerdo con las Bases de Postulación a la convocatoria acotada para la ejecución del Programa de Accesibilidad en Instituciones Públicas 2022, Resolución Exenta SENADIS 787-2022, el presente instrumento cumple en responder las consultas ingresadas durante período abierto entre el 26 de abril y el 2 de mayo de 2022.</w:t>
      </w:r>
    </w:p>
    <w:p w14:paraId="4443D580"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Se precisa que este documento aclaratorio adquiere calidad de contenido y pasa a formar parte de las señaladas bases.</w:t>
      </w:r>
    </w:p>
    <w:p w14:paraId="79626D4F" w14:textId="77777777" w:rsidR="0089304D" w:rsidRDefault="00E03594" w:rsidP="005F328D">
      <w:pPr>
        <w:shd w:val="clear" w:color="auto" w:fill="FFFFFF"/>
        <w:spacing w:before="280" w:after="280" w:line="240" w:lineRule="auto"/>
        <w:jc w:val="both"/>
        <w:rPr>
          <w:rFonts w:ascii="Arial" w:eastAsia="Arial" w:hAnsi="Arial" w:cs="Arial"/>
          <w:b/>
          <w:color w:val="222222"/>
        </w:rPr>
      </w:pPr>
      <w:r>
        <w:rPr>
          <w:rFonts w:ascii="Arial" w:eastAsia="Arial" w:hAnsi="Arial" w:cs="Arial"/>
          <w:b/>
          <w:color w:val="222222"/>
        </w:rPr>
        <w:t>CONSULTA 1</w:t>
      </w:r>
    </w:p>
    <w:p w14:paraId="5008596C" w14:textId="77777777" w:rsidR="0089304D" w:rsidRDefault="00E03594" w:rsidP="005F328D">
      <w:pPr>
        <w:shd w:val="clear" w:color="auto" w:fill="FFFFFF"/>
        <w:spacing w:before="280" w:after="280" w:line="240" w:lineRule="auto"/>
        <w:jc w:val="both"/>
        <w:rPr>
          <w:rFonts w:ascii="Arial" w:eastAsia="Arial" w:hAnsi="Arial" w:cs="Arial"/>
          <w:color w:val="222222"/>
        </w:rPr>
      </w:pPr>
      <w:bookmarkStart w:id="0" w:name="_heading=h.gjdgxs" w:colFirst="0" w:colLast="0"/>
      <w:bookmarkEnd w:id="0"/>
      <w:r>
        <w:rPr>
          <w:rFonts w:ascii="Arial" w:eastAsia="Arial" w:hAnsi="Arial" w:cs="Arial"/>
          <w:color w:val="222222"/>
        </w:rPr>
        <w:t>“Quería confirmar si solo pueden postular instituciones públicas, para saber si podemos postular o no desde nuestra institución. Si no cumpliéramos con los requisitos para postular, me gustaría saber si hay otras convocatorias en las que podríamos participar.”</w:t>
      </w:r>
    </w:p>
    <w:p w14:paraId="6B5B6976"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RESPUESTA:</w:t>
      </w:r>
    </w:p>
    <w:p w14:paraId="2CE9BCEB"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De acuerdo con las bases, página 4, la convocatoria está abierta para:</w:t>
      </w:r>
    </w:p>
    <w:p w14:paraId="1E015053"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 xml:space="preserve">  i. Tipo de Institución: Ser instituciones de educación superior reconocidas y vigentes por el Ministerio de Educación que tengan experticia en asistencia técnica en materias de accesibilidad, arquitectura, desarrollos web, desarrollos tecnológicos y/o discapacidad.  </w:t>
      </w:r>
    </w:p>
    <w:p w14:paraId="33734889" w14:textId="77777777" w:rsidR="0089304D" w:rsidRDefault="00E03594" w:rsidP="005F328D">
      <w:pPr>
        <w:shd w:val="clear" w:color="auto" w:fill="FFFFFF"/>
        <w:spacing w:before="280" w:after="280" w:line="240" w:lineRule="auto"/>
        <w:jc w:val="both"/>
        <w:rPr>
          <w:rFonts w:ascii="Arial" w:eastAsia="Arial" w:hAnsi="Arial" w:cs="Arial"/>
          <w:b/>
          <w:color w:val="222222"/>
        </w:rPr>
      </w:pPr>
      <w:r>
        <w:rPr>
          <w:rFonts w:ascii="Arial" w:eastAsia="Arial" w:hAnsi="Arial" w:cs="Arial"/>
          <w:b/>
          <w:color w:val="222222"/>
        </w:rPr>
        <w:t>CONSULTA 2</w:t>
      </w:r>
    </w:p>
    <w:p w14:paraId="68B27513"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“Según el punto 6.2 de las bases que declara inhabilidad específicamente el punto “b” sobre inhabilidad por “obligaciones pendientes”, según estos antecedentes se consideraría que instituciones las cuales están en un proyecto en curso junto a SENADIS ¿serían hábiles o inhábiles para postular?”</w:t>
      </w:r>
    </w:p>
    <w:p w14:paraId="21425AC8"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RESPUESTA:</w:t>
      </w:r>
    </w:p>
    <w:p w14:paraId="09A16E52" w14:textId="77777777" w:rsidR="0089304D" w:rsidRDefault="00E03594" w:rsidP="005F328D">
      <w:pPr>
        <w:shd w:val="clear" w:color="auto" w:fill="FFFFFF"/>
        <w:spacing w:after="0" w:line="240" w:lineRule="auto"/>
        <w:jc w:val="both"/>
        <w:rPr>
          <w:rFonts w:ascii="Arial" w:eastAsia="Arial" w:hAnsi="Arial" w:cs="Arial"/>
          <w:color w:val="222222"/>
        </w:rPr>
      </w:pPr>
      <w:r>
        <w:rPr>
          <w:rFonts w:ascii="Arial" w:eastAsia="Arial" w:hAnsi="Arial" w:cs="Arial"/>
          <w:color w:val="222222"/>
        </w:rPr>
        <w:t>Las obligaciones pendientes, existen cada vez que el ejecutor de un convenio de transferencia de recursos no ha dado cumplimiento a alguna de las obligaciones adquiridas con el Servicio siendo esta exigible. Esto sucede cuando:</w:t>
      </w:r>
    </w:p>
    <w:p w14:paraId="1111F418" w14:textId="61F9E6F1" w:rsidR="0089304D" w:rsidRPr="00960991" w:rsidRDefault="00960991" w:rsidP="00960991">
      <w:pPr>
        <w:pStyle w:val="Prrafodelista"/>
        <w:shd w:val="clear" w:color="auto" w:fill="FFFFFF"/>
        <w:tabs>
          <w:tab w:val="left" w:pos="284"/>
        </w:tabs>
        <w:spacing w:after="0" w:line="240" w:lineRule="auto"/>
        <w:ind w:left="142" w:firstLine="578"/>
        <w:jc w:val="both"/>
        <w:rPr>
          <w:rFonts w:ascii="Arial" w:eastAsia="Arial" w:hAnsi="Arial" w:cs="Arial"/>
          <w:color w:val="222222"/>
        </w:rPr>
      </w:pPr>
      <w:r w:rsidRPr="00960991">
        <w:rPr>
          <w:rFonts w:ascii="Arial" w:eastAsia="Arial" w:hAnsi="Arial" w:cs="Arial"/>
          <w:color w:val="222222"/>
        </w:rPr>
        <w:br/>
        <w:t xml:space="preserve">● </w:t>
      </w:r>
      <w:r>
        <w:rPr>
          <w:rFonts w:ascii="Arial" w:eastAsia="Arial" w:hAnsi="Arial" w:cs="Arial"/>
          <w:color w:val="222222"/>
        </w:rPr>
        <w:t xml:space="preserve"> </w:t>
      </w:r>
      <w:bookmarkStart w:id="1" w:name="_GoBack"/>
      <w:bookmarkEnd w:id="1"/>
      <w:r>
        <w:rPr>
          <w:rFonts w:ascii="Arial" w:eastAsia="Arial" w:hAnsi="Arial" w:cs="Arial"/>
          <w:color w:val="222222"/>
        </w:rPr>
        <w:t>N</w:t>
      </w:r>
      <w:r w:rsidR="00E03594" w:rsidRPr="00960991">
        <w:rPr>
          <w:rFonts w:ascii="Arial" w:eastAsia="Arial" w:hAnsi="Arial" w:cs="Arial"/>
          <w:color w:val="222222"/>
        </w:rPr>
        <w:t>o restituye total o parcialmente los recursos entregados, debiendo hacerlo.</w:t>
      </w:r>
      <w:r w:rsidR="00E03594" w:rsidRPr="00960991">
        <w:rPr>
          <w:rFonts w:ascii="Arial" w:eastAsia="Arial" w:hAnsi="Arial" w:cs="Arial"/>
          <w:color w:val="222222"/>
        </w:rPr>
        <w:br/>
        <w:t xml:space="preserve">● </w:t>
      </w:r>
      <w:r>
        <w:rPr>
          <w:rFonts w:ascii="Arial" w:eastAsia="Arial" w:hAnsi="Arial" w:cs="Arial"/>
          <w:color w:val="222222"/>
        </w:rPr>
        <w:t xml:space="preserve">    </w:t>
      </w:r>
      <w:r w:rsidR="00E03594" w:rsidRPr="00960991">
        <w:rPr>
          <w:rFonts w:ascii="Arial" w:eastAsia="Arial" w:hAnsi="Arial" w:cs="Arial"/>
          <w:color w:val="222222"/>
        </w:rPr>
        <w:t>No rinde los gastos asociados a su proyecto dentro del plazo estipulado por convenio.</w:t>
      </w:r>
      <w:r w:rsidR="00E03594" w:rsidRPr="00960991">
        <w:rPr>
          <w:rFonts w:ascii="Arial" w:eastAsia="Arial" w:hAnsi="Arial" w:cs="Arial"/>
          <w:color w:val="222222"/>
        </w:rPr>
        <w:br/>
        <w:t xml:space="preserve">● </w:t>
      </w:r>
      <w:r>
        <w:rPr>
          <w:rFonts w:ascii="Arial" w:eastAsia="Arial" w:hAnsi="Arial" w:cs="Arial"/>
          <w:color w:val="222222"/>
        </w:rPr>
        <w:t xml:space="preserve"> </w:t>
      </w:r>
      <w:r w:rsidR="00E03594" w:rsidRPr="00960991">
        <w:rPr>
          <w:rFonts w:ascii="Arial" w:eastAsia="Arial" w:hAnsi="Arial" w:cs="Arial"/>
          <w:color w:val="222222"/>
        </w:rPr>
        <w:t>No subsana observaciones hechas por SENADIS a las rendiciones de gastos presentadas dentro del plazo estipulado por convenio.</w:t>
      </w:r>
    </w:p>
    <w:p w14:paraId="78CDE7F3" w14:textId="77777777" w:rsidR="0089304D" w:rsidRDefault="0089304D" w:rsidP="005F328D">
      <w:pPr>
        <w:shd w:val="clear" w:color="auto" w:fill="FFFFFF"/>
        <w:spacing w:after="0" w:line="240" w:lineRule="auto"/>
        <w:jc w:val="both"/>
        <w:rPr>
          <w:rFonts w:ascii="Arial" w:eastAsia="Arial" w:hAnsi="Arial" w:cs="Arial"/>
          <w:color w:val="222222"/>
        </w:rPr>
      </w:pPr>
    </w:p>
    <w:p w14:paraId="0E484E11" w14:textId="77777777" w:rsidR="0089304D" w:rsidRDefault="00E03594" w:rsidP="005F328D">
      <w:pPr>
        <w:shd w:val="clear" w:color="auto" w:fill="FFFFFF"/>
        <w:spacing w:after="0" w:line="240" w:lineRule="auto"/>
        <w:jc w:val="both"/>
        <w:rPr>
          <w:rFonts w:ascii="Arial" w:eastAsia="Arial" w:hAnsi="Arial" w:cs="Arial"/>
          <w:color w:val="222222"/>
        </w:rPr>
      </w:pPr>
      <w:r>
        <w:rPr>
          <w:rFonts w:ascii="Arial" w:eastAsia="Arial" w:hAnsi="Arial" w:cs="Arial"/>
          <w:color w:val="222222"/>
        </w:rPr>
        <w:t>En este sentido, no hay inhabilidad en constituir un ejecutor actual de un proyecto con SENADIS.</w:t>
      </w:r>
    </w:p>
    <w:p w14:paraId="06E78E2A" w14:textId="77777777" w:rsidR="0089304D" w:rsidRDefault="0089304D" w:rsidP="005F328D">
      <w:pPr>
        <w:shd w:val="clear" w:color="auto" w:fill="FFFFFF"/>
        <w:spacing w:after="0" w:line="240" w:lineRule="auto"/>
        <w:jc w:val="both"/>
        <w:rPr>
          <w:rFonts w:ascii="Arial" w:eastAsia="Arial" w:hAnsi="Arial" w:cs="Arial"/>
          <w:color w:val="222222"/>
        </w:rPr>
      </w:pPr>
    </w:p>
    <w:p w14:paraId="7C458645" w14:textId="77777777" w:rsidR="0089304D" w:rsidRDefault="00E03594" w:rsidP="005F328D">
      <w:pPr>
        <w:shd w:val="clear" w:color="auto" w:fill="FFFFFF"/>
        <w:spacing w:after="0" w:line="240" w:lineRule="auto"/>
        <w:jc w:val="both"/>
        <w:rPr>
          <w:rFonts w:ascii="Arial" w:eastAsia="Arial" w:hAnsi="Arial" w:cs="Arial"/>
          <w:b/>
          <w:color w:val="222222"/>
        </w:rPr>
      </w:pPr>
      <w:r>
        <w:rPr>
          <w:rFonts w:ascii="Arial" w:eastAsia="Arial" w:hAnsi="Arial" w:cs="Arial"/>
          <w:b/>
          <w:color w:val="222222"/>
        </w:rPr>
        <w:t>CONSULTA 3</w:t>
      </w:r>
    </w:p>
    <w:p w14:paraId="123CFAEF"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 xml:space="preserve">“¿Cuál es el plan de mantención posterior al proyecto para la plataforma de </w:t>
      </w:r>
      <w:proofErr w:type="spellStart"/>
      <w:r>
        <w:rPr>
          <w:rFonts w:ascii="Arial" w:eastAsia="Arial" w:hAnsi="Arial" w:cs="Arial"/>
          <w:color w:val="222222"/>
        </w:rPr>
        <w:t>reportabilidad</w:t>
      </w:r>
      <w:proofErr w:type="spellEnd"/>
      <w:r>
        <w:rPr>
          <w:rFonts w:ascii="Arial" w:eastAsia="Arial" w:hAnsi="Arial" w:cs="Arial"/>
          <w:color w:val="222222"/>
        </w:rPr>
        <w:t xml:space="preserve"> de accesibilidad a diseñar?” </w:t>
      </w:r>
    </w:p>
    <w:p w14:paraId="48734BA9" w14:textId="77777777" w:rsidR="0089304D" w:rsidRDefault="00E03594" w:rsidP="005F328D">
      <w:pPr>
        <w:shd w:val="clear" w:color="auto" w:fill="FFFFFF"/>
        <w:spacing w:before="280" w:after="280" w:line="240" w:lineRule="auto"/>
        <w:jc w:val="both"/>
        <w:rPr>
          <w:rFonts w:ascii="Arial" w:eastAsia="Arial" w:hAnsi="Arial" w:cs="Arial"/>
          <w:color w:val="222222"/>
        </w:rPr>
      </w:pPr>
      <w:r>
        <w:rPr>
          <w:rFonts w:ascii="Arial" w:eastAsia="Arial" w:hAnsi="Arial" w:cs="Arial"/>
          <w:color w:val="222222"/>
        </w:rPr>
        <w:t>RESPUESTA:</w:t>
      </w:r>
    </w:p>
    <w:p w14:paraId="0A2A6C03" w14:textId="77777777" w:rsidR="00A35128" w:rsidRDefault="00E03594" w:rsidP="005F328D">
      <w:pPr>
        <w:shd w:val="clear" w:color="auto" w:fill="FFFFFF"/>
        <w:spacing w:after="0" w:line="240" w:lineRule="auto"/>
        <w:jc w:val="both"/>
        <w:rPr>
          <w:rFonts w:ascii="Arial" w:eastAsia="Arial" w:hAnsi="Arial" w:cs="Arial"/>
          <w:color w:val="222222"/>
        </w:rPr>
      </w:pPr>
      <w:r>
        <w:rPr>
          <w:rFonts w:ascii="Arial" w:eastAsia="Arial" w:hAnsi="Arial" w:cs="Arial"/>
          <w:color w:val="222222"/>
        </w:rPr>
        <w:t xml:space="preserve">Lo consultado es materia de la formulación del proyecto emitido por cada postulante en el formulario de postulación, </w:t>
      </w:r>
      <w:proofErr w:type="gramStart"/>
      <w:r>
        <w:rPr>
          <w:rFonts w:ascii="Arial" w:eastAsia="Arial" w:hAnsi="Arial" w:cs="Arial"/>
          <w:color w:val="222222"/>
        </w:rPr>
        <w:t>como</w:t>
      </w:r>
      <w:proofErr w:type="gramEnd"/>
      <w:r>
        <w:rPr>
          <w:rFonts w:ascii="Arial" w:eastAsia="Arial" w:hAnsi="Arial" w:cs="Arial"/>
          <w:color w:val="222222"/>
        </w:rPr>
        <w:t xml:space="preserve"> por ejemplo, en valor agregado. </w:t>
      </w:r>
    </w:p>
    <w:p w14:paraId="187E6BDC" w14:textId="77777777" w:rsidR="00A35128" w:rsidRDefault="00A35128" w:rsidP="005F328D">
      <w:pPr>
        <w:shd w:val="clear" w:color="auto" w:fill="FFFFFF"/>
        <w:spacing w:after="0" w:line="240" w:lineRule="auto"/>
        <w:jc w:val="both"/>
        <w:rPr>
          <w:rFonts w:ascii="Arial" w:eastAsia="Arial" w:hAnsi="Arial" w:cs="Arial"/>
          <w:color w:val="222222"/>
        </w:rPr>
      </w:pPr>
    </w:p>
    <w:p w14:paraId="44FC9650" w14:textId="77777777" w:rsidR="0089304D" w:rsidRDefault="00E03594" w:rsidP="005F328D">
      <w:pPr>
        <w:shd w:val="clear" w:color="auto" w:fill="FFFFFF"/>
        <w:spacing w:after="0" w:line="240" w:lineRule="auto"/>
        <w:jc w:val="both"/>
        <w:rPr>
          <w:rFonts w:ascii="Arial" w:eastAsia="Arial" w:hAnsi="Arial" w:cs="Arial"/>
          <w:color w:val="222222"/>
        </w:rPr>
      </w:pPr>
      <w:r>
        <w:rPr>
          <w:rFonts w:ascii="Arial" w:eastAsia="Arial" w:hAnsi="Arial" w:cs="Arial"/>
          <w:color w:val="222222"/>
        </w:rPr>
        <w:t xml:space="preserve">Las especificaciones técnicas de dicho proceso se encuentran en el anexo </w:t>
      </w:r>
      <w:r w:rsidR="00A35128">
        <w:rPr>
          <w:rFonts w:ascii="Arial" w:eastAsia="Arial" w:hAnsi="Arial" w:cs="Arial"/>
          <w:color w:val="222222"/>
        </w:rPr>
        <w:t>Nº</w:t>
      </w:r>
      <w:r>
        <w:rPr>
          <w:rFonts w:ascii="Arial" w:eastAsia="Arial" w:hAnsi="Arial" w:cs="Arial"/>
          <w:color w:val="222222"/>
        </w:rPr>
        <w:t xml:space="preserve">5 de las bases. </w:t>
      </w:r>
    </w:p>
    <w:p w14:paraId="291F482A" w14:textId="77777777" w:rsidR="0089304D" w:rsidRDefault="0089304D" w:rsidP="005F328D">
      <w:pPr>
        <w:shd w:val="clear" w:color="auto" w:fill="FFFFFF"/>
        <w:spacing w:after="0" w:line="240" w:lineRule="auto"/>
        <w:jc w:val="both"/>
        <w:rPr>
          <w:rFonts w:ascii="Arial" w:eastAsia="Arial" w:hAnsi="Arial" w:cs="Arial"/>
          <w:color w:val="222222"/>
        </w:rPr>
      </w:pPr>
    </w:p>
    <w:p w14:paraId="30204994" w14:textId="77777777" w:rsidR="0089304D" w:rsidRDefault="0089304D" w:rsidP="005F328D">
      <w:pPr>
        <w:shd w:val="clear" w:color="auto" w:fill="FFFFFF"/>
        <w:spacing w:after="0" w:line="240" w:lineRule="auto"/>
        <w:jc w:val="both"/>
        <w:rPr>
          <w:rFonts w:ascii="Arial" w:eastAsia="Arial" w:hAnsi="Arial" w:cs="Arial"/>
          <w:color w:val="222222"/>
        </w:rPr>
      </w:pPr>
    </w:p>
    <w:p w14:paraId="61B36FD5" w14:textId="77777777" w:rsidR="0089304D" w:rsidRDefault="0089304D" w:rsidP="005F328D">
      <w:pPr>
        <w:shd w:val="clear" w:color="auto" w:fill="FFFFFF"/>
        <w:spacing w:after="0" w:line="240" w:lineRule="auto"/>
        <w:jc w:val="both"/>
        <w:rPr>
          <w:rFonts w:ascii="Arial" w:eastAsia="Arial" w:hAnsi="Arial" w:cs="Arial"/>
          <w:color w:val="222222"/>
          <w:sz w:val="24"/>
          <w:szCs w:val="24"/>
        </w:rPr>
      </w:pPr>
    </w:p>
    <w:p w14:paraId="3BD619A4" w14:textId="77777777" w:rsidR="0089304D" w:rsidRDefault="0089304D" w:rsidP="005F328D">
      <w:pPr>
        <w:jc w:val="both"/>
      </w:pPr>
    </w:p>
    <w:sectPr w:rsidR="0089304D">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12818" w14:textId="77777777" w:rsidR="0082444E" w:rsidRDefault="0082444E">
      <w:pPr>
        <w:spacing w:after="0" w:line="240" w:lineRule="auto"/>
      </w:pPr>
      <w:r>
        <w:separator/>
      </w:r>
    </w:p>
  </w:endnote>
  <w:endnote w:type="continuationSeparator" w:id="0">
    <w:p w14:paraId="0C45424F" w14:textId="77777777" w:rsidR="0082444E" w:rsidRDefault="0082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EE37" w14:textId="77777777" w:rsidR="0082444E" w:rsidRDefault="0082444E">
      <w:pPr>
        <w:spacing w:after="0" w:line="240" w:lineRule="auto"/>
      </w:pPr>
      <w:r>
        <w:separator/>
      </w:r>
    </w:p>
  </w:footnote>
  <w:footnote w:type="continuationSeparator" w:id="0">
    <w:p w14:paraId="49395B7A" w14:textId="77777777" w:rsidR="0082444E" w:rsidRDefault="0082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E22D" w14:textId="77777777" w:rsidR="0089304D" w:rsidRDefault="00E0359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F06C758" wp14:editId="521A6CEF">
          <wp:simplePos x="0" y="0"/>
          <wp:positionH relativeFrom="column">
            <wp:posOffset>0</wp:posOffset>
          </wp:positionH>
          <wp:positionV relativeFrom="paragraph">
            <wp:posOffset>-449579</wp:posOffset>
          </wp:positionV>
          <wp:extent cx="803241" cy="730219"/>
          <wp:effectExtent l="0" t="0" r="0" b="0"/>
          <wp:wrapNone/>
          <wp:docPr id="2" name="image1.png" descr="C:\Users\javier gonzalez\AppData\Local\Microsoft\Windows\INetCache\Content.Word\Logo Senadis.png"/>
          <wp:cNvGraphicFramePr/>
          <a:graphic xmlns:a="http://schemas.openxmlformats.org/drawingml/2006/main">
            <a:graphicData uri="http://schemas.openxmlformats.org/drawingml/2006/picture">
              <pic:pic xmlns:pic="http://schemas.openxmlformats.org/drawingml/2006/picture">
                <pic:nvPicPr>
                  <pic:cNvPr id="0" name="image1.png" descr="C:\Users\javier gonzalez\AppData\Local\Microsoft\Windows\INetCache\Content.Word\Logo Senadis.png"/>
                  <pic:cNvPicPr preferRelativeResize="0"/>
                </pic:nvPicPr>
                <pic:blipFill>
                  <a:blip r:embed="rId1"/>
                  <a:srcRect/>
                  <a:stretch>
                    <a:fillRect/>
                  </a:stretch>
                </pic:blipFill>
                <pic:spPr>
                  <a:xfrm>
                    <a:off x="0" y="0"/>
                    <a:ext cx="803241" cy="73021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6DE5"/>
    <w:multiLevelType w:val="hybridMultilevel"/>
    <w:tmpl w:val="68843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69B11FC"/>
    <w:multiLevelType w:val="hybridMultilevel"/>
    <w:tmpl w:val="38F0DF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CC75EAD"/>
    <w:multiLevelType w:val="hybridMultilevel"/>
    <w:tmpl w:val="C2D87E6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6144218"/>
    <w:multiLevelType w:val="hybridMultilevel"/>
    <w:tmpl w:val="C7B4D9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4D"/>
    <w:rsid w:val="002E017D"/>
    <w:rsid w:val="005F328D"/>
    <w:rsid w:val="007C79FA"/>
    <w:rsid w:val="0082444E"/>
    <w:rsid w:val="0089304D"/>
    <w:rsid w:val="00960991"/>
    <w:rsid w:val="009F2F07"/>
    <w:rsid w:val="00A35128"/>
    <w:rsid w:val="00C65BD6"/>
    <w:rsid w:val="00E035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2732"/>
  <w15:docId w15:val="{248A9F85-6D3C-43F5-9AB3-0C7BE700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A7D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7DB9"/>
  </w:style>
  <w:style w:type="paragraph" w:styleId="Piedepgina">
    <w:name w:val="footer"/>
    <w:basedOn w:val="Normal"/>
    <w:link w:val="PiedepginaCar"/>
    <w:uiPriority w:val="99"/>
    <w:unhideWhenUsed/>
    <w:rsid w:val="005A7D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7DB9"/>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A35128"/>
    <w:rPr>
      <w:sz w:val="16"/>
      <w:szCs w:val="16"/>
    </w:rPr>
  </w:style>
  <w:style w:type="paragraph" w:styleId="Textocomentario">
    <w:name w:val="annotation text"/>
    <w:basedOn w:val="Normal"/>
    <w:link w:val="TextocomentarioCar"/>
    <w:uiPriority w:val="99"/>
    <w:semiHidden/>
    <w:unhideWhenUsed/>
    <w:rsid w:val="00A351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5128"/>
    <w:rPr>
      <w:sz w:val="20"/>
      <w:szCs w:val="20"/>
    </w:rPr>
  </w:style>
  <w:style w:type="paragraph" w:styleId="Asuntodelcomentario">
    <w:name w:val="annotation subject"/>
    <w:basedOn w:val="Textocomentario"/>
    <w:next w:val="Textocomentario"/>
    <w:link w:val="AsuntodelcomentarioCar"/>
    <w:uiPriority w:val="99"/>
    <w:semiHidden/>
    <w:unhideWhenUsed/>
    <w:rsid w:val="00A35128"/>
    <w:rPr>
      <w:b/>
      <w:bCs/>
    </w:rPr>
  </w:style>
  <w:style w:type="character" w:customStyle="1" w:styleId="AsuntodelcomentarioCar">
    <w:name w:val="Asunto del comentario Car"/>
    <w:basedOn w:val="TextocomentarioCar"/>
    <w:link w:val="Asuntodelcomentario"/>
    <w:uiPriority w:val="99"/>
    <w:semiHidden/>
    <w:rsid w:val="00A35128"/>
    <w:rPr>
      <w:b/>
      <w:bCs/>
      <w:sz w:val="20"/>
      <w:szCs w:val="20"/>
    </w:rPr>
  </w:style>
  <w:style w:type="paragraph" w:styleId="Textodeglobo">
    <w:name w:val="Balloon Text"/>
    <w:basedOn w:val="Normal"/>
    <w:link w:val="TextodegloboCar"/>
    <w:uiPriority w:val="99"/>
    <w:semiHidden/>
    <w:unhideWhenUsed/>
    <w:rsid w:val="00A3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128"/>
    <w:rPr>
      <w:rFonts w:ascii="Segoe UI" w:hAnsi="Segoe UI" w:cs="Segoe UI"/>
      <w:sz w:val="18"/>
      <w:szCs w:val="18"/>
    </w:rPr>
  </w:style>
  <w:style w:type="paragraph" w:styleId="Prrafodelista">
    <w:name w:val="List Paragraph"/>
    <w:basedOn w:val="Normal"/>
    <w:uiPriority w:val="34"/>
    <w:qFormat/>
    <w:rsid w:val="00960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4xoYElgil3x1C/x8Ucoq1Z2Q==">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González Rodríguez</dc:creator>
  <cp:lastModifiedBy>Juan Andres Lerdo de Tejada</cp:lastModifiedBy>
  <cp:revision>2</cp:revision>
  <dcterms:created xsi:type="dcterms:W3CDTF">2022-05-04T18:50:00Z</dcterms:created>
  <dcterms:modified xsi:type="dcterms:W3CDTF">2022-05-04T18:50:00Z</dcterms:modified>
</cp:coreProperties>
</file>