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714C2" w:rsidRDefault="00876D9E">
      <w:pPr>
        <w:jc w:val="center"/>
        <w:rPr>
          <w:rFonts w:ascii="Verdana" w:eastAsia="Verdana" w:hAnsi="Verdana" w:cs="Verdana"/>
          <w:b/>
        </w:rPr>
      </w:pPr>
      <w:bookmarkStart w:id="0" w:name="_GoBack"/>
      <w:bookmarkEnd w:id="0"/>
      <w:r>
        <w:rPr>
          <w:rFonts w:ascii="Verdana" w:eastAsia="Verdana" w:hAnsi="Verdana" w:cs="Verdana"/>
          <w:b/>
        </w:rPr>
        <w:t>ANEXO Nº3</w:t>
      </w:r>
    </w:p>
    <w:p w14:paraId="00000002" w14:textId="77777777" w:rsidR="004714C2" w:rsidRDefault="00876D9E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Accesibilidad en instituciones</w:t>
      </w:r>
    </w:p>
    <w:p w14:paraId="00000003" w14:textId="77777777" w:rsidR="004714C2" w:rsidRDefault="00876D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41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Policía de Investigaciones (PDI)</w:t>
      </w:r>
    </w:p>
    <w:p w14:paraId="00000004" w14:textId="77777777" w:rsidR="004714C2" w:rsidRDefault="00876D9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</w:rPr>
        <w:t xml:space="preserve">La PDI cuenta en la actualidad con 174 cuarteles policiales, de los cuales, 60,3% de ellos, tiene accesibilidad universal, hasta el recinto de guardia y hall de espera. Además, cuenta con la </w:t>
      </w:r>
      <w:r>
        <w:rPr>
          <w:rFonts w:ascii="Verdana" w:eastAsia="Verdana" w:hAnsi="Verdana" w:cs="Verdana"/>
        </w:rPr>
        <w:t>Metodología para la Formulación y Evaluación de Proyectos de Cuar</w:t>
      </w:r>
      <w:r>
        <w:rPr>
          <w:rFonts w:ascii="Verdana" w:eastAsia="Verdana" w:hAnsi="Verdana" w:cs="Verdana"/>
        </w:rPr>
        <w:t>teles</w:t>
      </w:r>
      <w:r>
        <w:rPr>
          <w:rFonts w:ascii="Verdana" w:eastAsia="Verdana" w:hAnsi="Verdana" w:cs="Verdana"/>
          <w:vertAlign w:val="superscript"/>
        </w:rPr>
        <w:footnoteReference w:id="1"/>
      </w:r>
      <w:r>
        <w:rPr>
          <w:rFonts w:ascii="Verdana" w:eastAsia="Verdana" w:hAnsi="Verdana" w:cs="Verdana"/>
          <w:color w:val="000000"/>
        </w:rPr>
        <w:t>, la que fue actualizada y presentada ante el MDSF.</w:t>
      </w:r>
    </w:p>
    <w:p w14:paraId="00000005" w14:textId="77777777" w:rsidR="004714C2" w:rsidRDefault="00876D9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41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Actualmente, en los cuarteles se aplica el criterio de contar en los primeros niveles la atención al público, con servicios higiénicos para </w:t>
      </w:r>
      <w:proofErr w:type="spellStart"/>
      <w:r>
        <w:rPr>
          <w:rFonts w:ascii="Verdana" w:eastAsia="Verdana" w:hAnsi="Verdana" w:cs="Verdana"/>
          <w:color w:val="000000"/>
        </w:rPr>
        <w:t>PcD</w:t>
      </w:r>
      <w:proofErr w:type="spellEnd"/>
      <w:r>
        <w:rPr>
          <w:rFonts w:ascii="Verdana" w:eastAsia="Verdana" w:hAnsi="Verdana" w:cs="Verdana"/>
          <w:color w:val="000000"/>
        </w:rPr>
        <w:t xml:space="preserve"> y ruta accesible correspondiente. Existen 29 cuarteles</w:t>
      </w:r>
      <w:r>
        <w:rPr>
          <w:rFonts w:ascii="Verdana" w:eastAsia="Verdana" w:hAnsi="Verdana" w:cs="Verdana"/>
          <w:color w:val="000000"/>
        </w:rPr>
        <w:t xml:space="preserve"> policiales, que se encuentran en etapa de licitación, diseño y ejecución, presentando todos ellos una ruta accesible, que contemplan además, ascensores para entregar accesibilidad universal hacia niveles superiores, donde se consideran pasillos de ancho s</w:t>
      </w:r>
      <w:r>
        <w:rPr>
          <w:rFonts w:ascii="Verdana" w:eastAsia="Verdana" w:hAnsi="Verdana" w:cs="Verdana"/>
          <w:color w:val="000000"/>
        </w:rPr>
        <w:t>uficiente para circulación de personas que se trasladan en sillas de ruedas, así como anchos de puertas, que permitan llegar a otros recintos de atención de público si lo hubiese o bien a entrevistarse con el Jefe de Cuartel.</w:t>
      </w:r>
    </w:p>
    <w:p w14:paraId="00000006" w14:textId="77777777" w:rsidR="004714C2" w:rsidRDefault="004714C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41"/>
        <w:jc w:val="both"/>
        <w:rPr>
          <w:rFonts w:ascii="Verdana" w:eastAsia="Verdana" w:hAnsi="Verdana" w:cs="Verdana"/>
        </w:rPr>
      </w:pPr>
    </w:p>
    <w:p w14:paraId="00000007" w14:textId="77777777" w:rsidR="004714C2" w:rsidRDefault="00876D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41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Poder Judicial (PJUD)</w:t>
      </w:r>
    </w:p>
    <w:p w14:paraId="00000008" w14:textId="77777777" w:rsidR="004714C2" w:rsidRDefault="00876D9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</w:rPr>
        <w:t>El PJUD</w:t>
      </w:r>
      <w:r>
        <w:rPr>
          <w:rFonts w:ascii="Verdana" w:eastAsia="Verdana" w:hAnsi="Verdana" w:cs="Verdana"/>
          <w:color w:val="000000"/>
        </w:rPr>
        <w:t xml:space="preserve"> realizó un levantamiento de necesidades de tribunales y dependencias judiciales en materia de acceso a la justicia para </w:t>
      </w:r>
      <w:proofErr w:type="spellStart"/>
      <w:r>
        <w:rPr>
          <w:rFonts w:ascii="Verdana" w:eastAsia="Verdana" w:hAnsi="Verdana" w:cs="Verdana"/>
          <w:color w:val="000000"/>
        </w:rPr>
        <w:t>PcD</w:t>
      </w:r>
      <w:proofErr w:type="spellEnd"/>
      <w:r>
        <w:rPr>
          <w:rFonts w:ascii="Verdana" w:eastAsia="Verdana" w:hAnsi="Verdana" w:cs="Verdana"/>
          <w:color w:val="000000"/>
        </w:rPr>
        <w:t xml:space="preserve">. En 2012 se programó la aplicación de la ficha de accesibilidad (ficha IDA) del SENADIS o “Diagnóstico de Accesibilidad”, que tuvo </w:t>
      </w:r>
      <w:r>
        <w:rPr>
          <w:rFonts w:ascii="Verdana" w:eastAsia="Verdana" w:hAnsi="Verdana" w:cs="Verdana"/>
          <w:color w:val="000000"/>
        </w:rPr>
        <w:t>por finalidad determinar el nivel de accesibilidad de todos los inmuebles del PJUD. Este diagnóstico involucró 306 inmuebles que operan actualmente a lo largo del país, evaluando criterios de aproximación, circulación y posibilidades de uso de cada edifici</w:t>
      </w:r>
      <w:r>
        <w:rPr>
          <w:rFonts w:ascii="Verdana" w:eastAsia="Verdana" w:hAnsi="Verdana" w:cs="Verdana"/>
          <w:color w:val="000000"/>
        </w:rPr>
        <w:t>o. El resultado es que el 75% cumplía con los estándares. Se ofició a los administradores zonales realizar “ajustes razonables” en los inmuebles no accesibles, los cuales se están llevando adelante desde 2015, con un importante estado de avance. Se realiza</w:t>
      </w:r>
      <w:r>
        <w:rPr>
          <w:rFonts w:ascii="Verdana" w:eastAsia="Verdana" w:hAnsi="Verdana" w:cs="Verdana"/>
          <w:color w:val="000000"/>
        </w:rPr>
        <w:t xml:space="preserve">ron una serie de mejoras en infraestructura en los distintos inmuebles del PJUD y que involucraron la incorporación de rebajes en acceso, instalación de rampas, orugas y </w:t>
      </w:r>
      <w:proofErr w:type="spellStart"/>
      <w:r>
        <w:rPr>
          <w:rFonts w:ascii="Verdana" w:eastAsia="Verdana" w:hAnsi="Verdana" w:cs="Verdana"/>
          <w:color w:val="000000"/>
        </w:rPr>
        <w:t>salvaescaleras</w:t>
      </w:r>
      <w:proofErr w:type="spellEnd"/>
      <w:r>
        <w:rPr>
          <w:rFonts w:ascii="Verdana" w:eastAsia="Verdana" w:hAnsi="Verdana" w:cs="Verdana"/>
          <w:color w:val="000000"/>
        </w:rPr>
        <w:t xml:space="preserve">, entre otros ajustes razonables. Se realizaron rebajas de la altura de </w:t>
      </w:r>
      <w:r>
        <w:rPr>
          <w:rFonts w:ascii="Verdana" w:eastAsia="Verdana" w:hAnsi="Verdana" w:cs="Verdana"/>
          <w:color w:val="000000"/>
        </w:rPr>
        <w:t xml:space="preserve">los mesones de atención (Centro de Justicia de Santiago). Además, se hicieron mejoras en los servicios y ascensores. Se modificó la política de construcción de edificios en el PJUD y se estableció que el 100% de los nuevos edificios fueran accesibles para </w:t>
      </w:r>
      <w:r>
        <w:rPr>
          <w:rFonts w:ascii="Verdana" w:eastAsia="Verdana" w:hAnsi="Verdana" w:cs="Verdana"/>
          <w:color w:val="000000"/>
        </w:rPr>
        <w:t xml:space="preserve">las </w:t>
      </w:r>
      <w:proofErr w:type="spellStart"/>
      <w:r>
        <w:rPr>
          <w:rFonts w:ascii="Verdana" w:eastAsia="Verdana" w:hAnsi="Verdana" w:cs="Verdana"/>
          <w:color w:val="000000"/>
        </w:rPr>
        <w:t>PcD</w:t>
      </w:r>
      <w:proofErr w:type="spellEnd"/>
      <w:r>
        <w:rPr>
          <w:rFonts w:ascii="Verdana" w:eastAsia="Verdana" w:hAnsi="Verdana" w:cs="Verdana"/>
          <w:color w:val="000000"/>
        </w:rPr>
        <w:t>. </w:t>
      </w:r>
    </w:p>
    <w:p w14:paraId="00000009" w14:textId="77777777" w:rsidR="004714C2" w:rsidRDefault="004714C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A" w14:textId="77777777" w:rsidR="004714C2" w:rsidRDefault="004714C2">
      <w:pPr>
        <w:jc w:val="center"/>
        <w:rPr>
          <w:rFonts w:ascii="Verdana" w:eastAsia="Verdana" w:hAnsi="Verdana" w:cs="Verdana"/>
        </w:rPr>
      </w:pPr>
    </w:p>
    <w:sectPr w:rsidR="004714C2">
      <w:foot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49337" w14:textId="77777777" w:rsidR="00876D9E" w:rsidRDefault="00876D9E">
      <w:pPr>
        <w:spacing w:after="0" w:line="240" w:lineRule="auto"/>
      </w:pPr>
      <w:r>
        <w:separator/>
      </w:r>
    </w:p>
  </w:endnote>
  <w:endnote w:type="continuationSeparator" w:id="0">
    <w:p w14:paraId="595378AE" w14:textId="77777777" w:rsidR="00876D9E" w:rsidRDefault="00876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0C" w14:textId="49304ADB" w:rsidR="004714C2" w:rsidRDefault="00876D9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 w:rsidR="000C05B9"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0C05B9">
      <w:rPr>
        <w:rFonts w:ascii="Verdana" w:eastAsia="Verdana" w:hAnsi="Verdana" w:cs="Verdana"/>
        <w:noProof/>
        <w:color w:val="000000"/>
        <w:sz w:val="16"/>
        <w:szCs w:val="16"/>
      </w:rPr>
      <w:t>1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</w:p>
  <w:p w14:paraId="0000000D" w14:textId="77777777" w:rsidR="004714C2" w:rsidRDefault="004714C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FBEA6" w14:textId="77777777" w:rsidR="00876D9E" w:rsidRDefault="00876D9E">
      <w:pPr>
        <w:spacing w:after="0" w:line="240" w:lineRule="auto"/>
      </w:pPr>
      <w:r>
        <w:separator/>
      </w:r>
    </w:p>
  </w:footnote>
  <w:footnote w:type="continuationSeparator" w:id="0">
    <w:p w14:paraId="169750D9" w14:textId="77777777" w:rsidR="00876D9E" w:rsidRDefault="00876D9E">
      <w:pPr>
        <w:spacing w:after="0" w:line="240" w:lineRule="auto"/>
      </w:pPr>
      <w:r>
        <w:continuationSeparator/>
      </w:r>
    </w:p>
  </w:footnote>
  <w:footnote w:id="1">
    <w:p w14:paraId="0000000B" w14:textId="77777777" w:rsidR="004714C2" w:rsidRDefault="00876D9E">
      <w:pPr>
        <w:spacing w:after="0" w:line="240" w:lineRule="auto"/>
        <w:jc w:val="both"/>
        <w:rPr>
          <w:rFonts w:ascii="Verdana" w:eastAsia="Verdana" w:hAnsi="Verdana" w:cs="Verdana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Verdana" w:eastAsia="Verdana" w:hAnsi="Verdana" w:cs="Verdana"/>
          <w:sz w:val="16"/>
          <w:szCs w:val="16"/>
        </w:rPr>
        <w:t xml:space="preserve"> </w:t>
      </w:r>
      <w:hyperlink r:id="rId1">
        <w:r>
          <w:rPr>
            <w:rFonts w:ascii="Verdana" w:eastAsia="Verdana" w:hAnsi="Verdana" w:cs="Verdana"/>
            <w:color w:val="1155CC"/>
            <w:sz w:val="16"/>
            <w:szCs w:val="16"/>
            <w:u w:val="single"/>
          </w:rPr>
          <w:t>http://sni.gob.cl/storage/docs/Metodologia_de_Cuarteles_de_la_PDI.pdf</w:t>
        </w:r>
      </w:hyperlink>
      <w:r>
        <w:rPr>
          <w:rFonts w:ascii="Verdana" w:eastAsia="Verdana" w:hAnsi="Verdana" w:cs="Verdana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2741"/>
    <w:multiLevelType w:val="multilevel"/>
    <w:tmpl w:val="2E748D9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4C2"/>
    <w:rsid w:val="000C05B9"/>
    <w:rsid w:val="004714C2"/>
    <w:rsid w:val="0087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406462-C499-44CD-ACDD-BBEB33B4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ni.gob.cl/storage/docs/Metodologia_de_Cuarteles_de_la_PD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Ojeda Baeza</dc:creator>
  <cp:lastModifiedBy>Isabel Ojeda Baeza</cp:lastModifiedBy>
  <cp:revision>2</cp:revision>
  <dcterms:created xsi:type="dcterms:W3CDTF">2023-01-11T20:17:00Z</dcterms:created>
  <dcterms:modified xsi:type="dcterms:W3CDTF">2023-01-11T20:17:00Z</dcterms:modified>
</cp:coreProperties>
</file>