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E18E2" w:rsidRDefault="00B46174">
      <w:pPr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N°5</w:t>
      </w:r>
    </w:p>
    <w:p w14:paraId="00000002" w14:textId="77777777" w:rsidR="007E18E2" w:rsidRDefault="007E18E2">
      <w:pPr>
        <w:jc w:val="center"/>
        <w:rPr>
          <w:rFonts w:ascii="Verdana" w:eastAsia="Verdana" w:hAnsi="Verdana" w:cs="Verdana"/>
          <w:b/>
        </w:rPr>
      </w:pPr>
    </w:p>
    <w:p w14:paraId="00000003" w14:textId="77777777" w:rsidR="007E18E2" w:rsidRDefault="00B4617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Acciones MINEDUC para educación a distancia </w:t>
      </w:r>
    </w:p>
    <w:p w14:paraId="00000004" w14:textId="77777777" w:rsidR="007E18E2" w:rsidRDefault="00B46174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accesible e inclusiva en contexto de pandemia</w:t>
      </w:r>
    </w:p>
    <w:p w14:paraId="00000005" w14:textId="77777777" w:rsidR="007E18E2" w:rsidRDefault="007E18E2">
      <w:pPr>
        <w:jc w:val="center"/>
        <w:rPr>
          <w:rFonts w:ascii="Verdana" w:eastAsia="Verdana" w:hAnsi="Verdana" w:cs="Verdana"/>
        </w:rPr>
      </w:pPr>
    </w:p>
    <w:p w14:paraId="00000006" w14:textId="77777777" w:rsidR="007E18E2" w:rsidRDefault="00B46174">
      <w:pPr>
        <w:spacing w:after="120"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MINEDUC centró sus acciones en dotar de equipamiento tecnológico a los establecimientos educacionales. Dentro de las estrategias, se destacan las siguientes:</w:t>
      </w:r>
    </w:p>
    <w:p w14:paraId="00000007" w14:textId="77777777" w:rsidR="007E18E2" w:rsidRDefault="00B46174">
      <w:pPr>
        <w:spacing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a)</w:t>
      </w:r>
      <w:r>
        <w:rPr>
          <w:rFonts w:ascii="Verdana" w:eastAsia="Verdana" w:hAnsi="Verdana" w:cs="Verdana"/>
          <w:b/>
        </w:rPr>
        <w:t xml:space="preserve"> Tecnologías de Acceso Universal para la Educación</w:t>
      </w:r>
      <w:r>
        <w:rPr>
          <w:rFonts w:ascii="Verdana" w:eastAsia="Verdana" w:hAnsi="Verdana" w:cs="Verdana"/>
          <w:vertAlign w:val="superscript"/>
        </w:rPr>
        <w:footnoteReference w:id="1"/>
      </w:r>
      <w:r>
        <w:rPr>
          <w:rFonts w:ascii="Verdana" w:eastAsia="Verdana" w:hAnsi="Verdana" w:cs="Verdana"/>
        </w:rPr>
        <w:t xml:space="preserve">. Implementada desde 2020 y proyectado hasta </w:t>
      </w:r>
      <w:r>
        <w:rPr>
          <w:rFonts w:ascii="Verdana" w:eastAsia="Verdana" w:hAnsi="Verdana" w:cs="Verdana"/>
        </w:rPr>
        <w:t xml:space="preserve">2023, contempla la entrega de tecnologías </w:t>
      </w:r>
      <w:proofErr w:type="spellStart"/>
      <w:r>
        <w:rPr>
          <w:rFonts w:ascii="Verdana" w:eastAsia="Verdana" w:hAnsi="Verdana" w:cs="Verdana"/>
        </w:rPr>
        <w:t>asistivas</w:t>
      </w:r>
      <w:proofErr w:type="spellEnd"/>
      <w:r>
        <w:rPr>
          <w:rFonts w:ascii="Verdana" w:eastAsia="Verdana" w:hAnsi="Verdana" w:cs="Verdana"/>
        </w:rPr>
        <w:t xml:space="preserve"> o de apoyo, capacitación técnico-pedagógica favoreciendo que escuelas especiales puedan enriquecer sus prácticas pedagógicas para el desarrollo de la comunicación e incremento de la participación y el apr</w:t>
      </w:r>
      <w:r>
        <w:rPr>
          <w:rFonts w:ascii="Verdana" w:eastAsia="Verdana" w:hAnsi="Verdana" w:cs="Verdana"/>
        </w:rPr>
        <w:t>endizaje de estudiantes con discapacidad. Tiene como objetivo llegar a 307 escuelas especiales, 921 docentes, profesionales y 12.200 estudiantes con discapacidad.</w:t>
      </w:r>
    </w:p>
    <w:p w14:paraId="00000008" w14:textId="77777777" w:rsidR="007E18E2" w:rsidRDefault="007E18E2">
      <w:pPr>
        <w:spacing w:line="240" w:lineRule="auto"/>
        <w:ind w:right="-40"/>
        <w:jc w:val="both"/>
        <w:rPr>
          <w:rFonts w:ascii="Verdana" w:eastAsia="Verdana" w:hAnsi="Verdana" w:cs="Verdana"/>
        </w:rPr>
      </w:pPr>
    </w:p>
    <w:p w14:paraId="00000009" w14:textId="77777777" w:rsidR="007E18E2" w:rsidRDefault="00B46174">
      <w:pPr>
        <w:spacing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b) </w:t>
      </w:r>
      <w:r>
        <w:rPr>
          <w:rFonts w:ascii="Verdana" w:eastAsia="Verdana" w:hAnsi="Verdana" w:cs="Verdana"/>
          <w:b/>
        </w:rPr>
        <w:t>Enfrentando nuevos desafíos</w:t>
      </w:r>
      <w:r>
        <w:rPr>
          <w:rFonts w:ascii="Verdana" w:eastAsia="Verdana" w:hAnsi="Verdana" w:cs="Verdana"/>
        </w:rPr>
        <w:t>: Herramientas digitales para promover el aprendizaje en línea</w:t>
      </w:r>
      <w:r>
        <w:rPr>
          <w:rFonts w:ascii="Verdana" w:eastAsia="Verdana" w:hAnsi="Verdana" w:cs="Verdana"/>
        </w:rPr>
        <w:t xml:space="preserve">. Ciclo de </w:t>
      </w:r>
      <w:proofErr w:type="spellStart"/>
      <w:r>
        <w:rPr>
          <w:rFonts w:ascii="Verdana" w:eastAsia="Verdana" w:hAnsi="Verdana" w:cs="Verdana"/>
        </w:rPr>
        <w:t>webinarios</w:t>
      </w:r>
      <w:proofErr w:type="spellEnd"/>
      <w:r>
        <w:rPr>
          <w:rFonts w:ascii="Verdana" w:eastAsia="Verdana" w:hAnsi="Verdana" w:cs="Verdana"/>
        </w:rPr>
        <w:t xml:space="preserve"> y talleres para apoyar a las comunidades educativas durante la pandemia. El público de estas acciones fueron docentes de escuelas especiales y programas de integración PIE que no tuviesen experiencias previas o conocimientos sobre </w:t>
      </w:r>
      <w:r>
        <w:rPr>
          <w:rFonts w:ascii="Verdana" w:eastAsia="Verdana" w:hAnsi="Verdana" w:cs="Verdana"/>
          <w:i/>
        </w:rPr>
        <w:t>G S</w:t>
      </w:r>
      <w:r>
        <w:rPr>
          <w:rFonts w:ascii="Verdana" w:eastAsia="Verdana" w:hAnsi="Verdana" w:cs="Verdana"/>
          <w:i/>
        </w:rPr>
        <w:t xml:space="preserve">uite </w:t>
      </w:r>
      <w:proofErr w:type="spellStart"/>
      <w:r>
        <w:rPr>
          <w:rFonts w:ascii="Verdana" w:eastAsia="Verdana" w:hAnsi="Verdana" w:cs="Verdana"/>
          <w:i/>
        </w:rPr>
        <w:t>for</w:t>
      </w:r>
      <w:proofErr w:type="spellEnd"/>
      <w:r>
        <w:rPr>
          <w:rFonts w:ascii="Verdana" w:eastAsia="Verdana" w:hAnsi="Verdana" w:cs="Verdana"/>
          <w:i/>
        </w:rPr>
        <w:t xml:space="preserve"> </w:t>
      </w:r>
      <w:proofErr w:type="spellStart"/>
      <w:r>
        <w:rPr>
          <w:rFonts w:ascii="Verdana" w:eastAsia="Verdana" w:hAnsi="Verdana" w:cs="Verdana"/>
          <w:i/>
        </w:rPr>
        <w:t>Education</w:t>
      </w:r>
      <w:proofErr w:type="spellEnd"/>
      <w:r>
        <w:rPr>
          <w:rFonts w:ascii="Verdana" w:eastAsia="Verdana" w:hAnsi="Verdana" w:cs="Verdana"/>
        </w:rPr>
        <w:t xml:space="preserve"> y que quisieran aprender a utilizar </w:t>
      </w:r>
      <w:r>
        <w:rPr>
          <w:rFonts w:ascii="Verdana" w:eastAsia="Verdana" w:hAnsi="Verdana" w:cs="Verdana"/>
          <w:i/>
        </w:rPr>
        <w:t xml:space="preserve">Google </w:t>
      </w:r>
      <w:proofErr w:type="spellStart"/>
      <w:r>
        <w:rPr>
          <w:rFonts w:ascii="Verdana" w:eastAsia="Verdana" w:hAnsi="Verdana" w:cs="Verdana"/>
          <w:i/>
        </w:rPr>
        <w:t>Classroom</w:t>
      </w:r>
      <w:proofErr w:type="spellEnd"/>
      <w:r>
        <w:rPr>
          <w:rFonts w:ascii="Verdana" w:eastAsia="Verdana" w:hAnsi="Verdana" w:cs="Verdana"/>
        </w:rPr>
        <w:t>. El foco de estas acciones fue especialmente la creación de aulas virtuales, conociendo herramientas de accesibilidad que permiten desarrollar procesos de aprendizaje a distancia inclu</w:t>
      </w:r>
      <w:r>
        <w:rPr>
          <w:rFonts w:ascii="Verdana" w:eastAsia="Verdana" w:hAnsi="Verdana" w:cs="Verdana"/>
        </w:rPr>
        <w:t>sivos.</w:t>
      </w:r>
    </w:p>
    <w:p w14:paraId="0000000A" w14:textId="77777777" w:rsidR="007E18E2" w:rsidRDefault="007E18E2">
      <w:pPr>
        <w:spacing w:line="240" w:lineRule="auto"/>
        <w:ind w:right="-40"/>
        <w:jc w:val="both"/>
        <w:rPr>
          <w:rFonts w:ascii="Verdana" w:eastAsia="Verdana" w:hAnsi="Verdana" w:cs="Verdana"/>
        </w:rPr>
      </w:pPr>
    </w:p>
    <w:p w14:paraId="0000000B" w14:textId="77777777" w:rsidR="007E18E2" w:rsidRDefault="00B46174">
      <w:pPr>
        <w:spacing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c) </w:t>
      </w:r>
      <w:r>
        <w:rPr>
          <w:rFonts w:ascii="Verdana" w:eastAsia="Verdana" w:hAnsi="Verdana" w:cs="Verdana"/>
          <w:b/>
        </w:rPr>
        <w:t>Seminario Internacional TIC y Retos Múltiples</w:t>
      </w:r>
      <w:r>
        <w:rPr>
          <w:rFonts w:ascii="Verdana" w:eastAsia="Verdana" w:hAnsi="Verdana" w:cs="Verdana"/>
          <w:vertAlign w:val="superscript"/>
        </w:rPr>
        <w:footnoteReference w:id="2"/>
      </w:r>
      <w:r>
        <w:rPr>
          <w:rFonts w:ascii="Verdana" w:eastAsia="Verdana" w:hAnsi="Verdana" w:cs="Verdana"/>
        </w:rPr>
        <w:t>. Expertas internacionales compartieron orientaciones y herramientas para enfrentar la crisis sanitaria en contextos educativos inclusivos y accesibles. Su desarrollo duró 2 días, contando con la par</w:t>
      </w:r>
      <w:r>
        <w:rPr>
          <w:rFonts w:ascii="Verdana" w:eastAsia="Verdana" w:hAnsi="Verdana" w:cs="Verdana"/>
        </w:rPr>
        <w:t>ticipación de más de 1050 personas entre docentes y directivos.</w:t>
      </w:r>
    </w:p>
    <w:p w14:paraId="0000000C" w14:textId="77777777" w:rsidR="007E18E2" w:rsidRDefault="007E18E2">
      <w:pPr>
        <w:spacing w:line="240" w:lineRule="auto"/>
        <w:ind w:right="-40"/>
        <w:jc w:val="both"/>
        <w:rPr>
          <w:rFonts w:ascii="Verdana" w:eastAsia="Verdana" w:hAnsi="Verdana" w:cs="Verdana"/>
        </w:rPr>
      </w:pPr>
    </w:p>
    <w:p w14:paraId="0000000D" w14:textId="77777777" w:rsidR="007E18E2" w:rsidRDefault="00B46174">
      <w:pPr>
        <w:spacing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d) </w:t>
      </w:r>
      <w:r>
        <w:rPr>
          <w:rFonts w:ascii="Verdana" w:eastAsia="Verdana" w:hAnsi="Verdana" w:cs="Verdana"/>
          <w:b/>
        </w:rPr>
        <w:t>Kits Tecnológicos para la Educación Digital</w:t>
      </w:r>
      <w:r>
        <w:rPr>
          <w:rFonts w:ascii="Verdana" w:eastAsia="Verdana" w:hAnsi="Verdana" w:cs="Verdana"/>
        </w:rPr>
        <w:t xml:space="preserve">. En 2021, se entregaron 8.020 </w:t>
      </w:r>
      <w:proofErr w:type="spellStart"/>
      <w:r>
        <w:rPr>
          <w:rFonts w:ascii="Verdana" w:eastAsia="Verdana" w:hAnsi="Verdana" w:cs="Verdana"/>
        </w:rPr>
        <w:t>tablets</w:t>
      </w:r>
      <w:proofErr w:type="spellEnd"/>
      <w:r>
        <w:rPr>
          <w:rFonts w:ascii="Verdana" w:eastAsia="Verdana" w:hAnsi="Verdana" w:cs="Verdana"/>
        </w:rPr>
        <w:t xml:space="preserve">, acompañadas de una funda de silicona protectora y un plan de Internet de 6GB mensuales por un periodo de </w:t>
      </w:r>
      <w:r>
        <w:rPr>
          <w:rFonts w:ascii="Verdana" w:eastAsia="Verdana" w:hAnsi="Verdana" w:cs="Verdana"/>
        </w:rPr>
        <w:t xml:space="preserve">12 meses, con la finalidad de apoyar los procesos de aprendizaje de estudiantes con discapacidad en la pandemia. Esta acción fue acompañada de </w:t>
      </w:r>
      <w:proofErr w:type="spellStart"/>
      <w:r>
        <w:rPr>
          <w:rFonts w:ascii="Verdana" w:eastAsia="Verdana" w:hAnsi="Verdana" w:cs="Verdana"/>
        </w:rPr>
        <w:t>webinarios</w:t>
      </w:r>
      <w:proofErr w:type="spellEnd"/>
      <w:r>
        <w:rPr>
          <w:rFonts w:ascii="Verdana" w:eastAsia="Verdana" w:hAnsi="Verdana" w:cs="Verdana"/>
        </w:rPr>
        <w:t xml:space="preserve"> para apoyar a docentes, asistentes y profesionales de la educación en el uso pedagógico de los recurso</w:t>
      </w:r>
      <w:r>
        <w:rPr>
          <w:rFonts w:ascii="Verdana" w:eastAsia="Verdana" w:hAnsi="Verdana" w:cs="Verdana"/>
        </w:rPr>
        <w:t>s.</w:t>
      </w:r>
    </w:p>
    <w:p w14:paraId="0000000E" w14:textId="77777777" w:rsidR="007E18E2" w:rsidRDefault="007E18E2">
      <w:pPr>
        <w:spacing w:after="120" w:line="240" w:lineRule="auto"/>
        <w:ind w:left="720" w:right="-40"/>
        <w:jc w:val="both"/>
        <w:rPr>
          <w:rFonts w:ascii="Verdana" w:eastAsia="Verdana" w:hAnsi="Verdana" w:cs="Verdana"/>
        </w:rPr>
      </w:pPr>
    </w:p>
    <w:p w14:paraId="0000000F" w14:textId="77777777" w:rsidR="007E18E2" w:rsidRDefault="00B46174">
      <w:pPr>
        <w:spacing w:after="120" w:line="240" w:lineRule="auto"/>
        <w:ind w:right="-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e) </w:t>
      </w:r>
      <w:r>
        <w:rPr>
          <w:rFonts w:ascii="Verdana" w:eastAsia="Verdana" w:hAnsi="Verdana" w:cs="Verdana"/>
          <w:b/>
        </w:rPr>
        <w:t>Fortalecimiento de condiciones para promover la reactivación de aprendizajes a través de la innovación pedagógica en escuelas especiales</w:t>
      </w:r>
      <w:r>
        <w:rPr>
          <w:rFonts w:ascii="Verdana" w:eastAsia="Verdana" w:hAnsi="Verdana" w:cs="Verdana"/>
        </w:rPr>
        <w:t>. La convocatoria será realizada en segundo semestre del 2022, cuyo objetivo es dotar a establecimientos con equi</w:t>
      </w:r>
      <w:r>
        <w:rPr>
          <w:rFonts w:ascii="Verdana" w:eastAsia="Verdana" w:hAnsi="Verdana" w:cs="Verdana"/>
        </w:rPr>
        <w:t xml:space="preserve">pamiento tecnológico, tecnologías </w:t>
      </w:r>
      <w:proofErr w:type="spellStart"/>
      <w:r>
        <w:rPr>
          <w:rFonts w:ascii="Verdana" w:eastAsia="Verdana" w:hAnsi="Verdana" w:cs="Verdana"/>
        </w:rPr>
        <w:t>asistivas</w:t>
      </w:r>
      <w:proofErr w:type="spellEnd"/>
      <w:r>
        <w:rPr>
          <w:rFonts w:ascii="Verdana" w:eastAsia="Verdana" w:hAnsi="Verdana" w:cs="Verdana"/>
        </w:rPr>
        <w:t xml:space="preserve"> y/o de accesibilidad para aquellos estudiantes con necesidades de apoyo asociadas a discapacidad. Con este proyecto se espera beneficiar a 153 escuelas especiales, entregando recursos económicos para que cada est</w:t>
      </w:r>
      <w:r>
        <w:rPr>
          <w:rFonts w:ascii="Verdana" w:eastAsia="Verdana" w:hAnsi="Verdana" w:cs="Verdana"/>
        </w:rPr>
        <w:t>ablecimiento pueda seleccionar y adquirir tecnologías que aporten a la comunicación, participación y aprendizaje.</w:t>
      </w:r>
    </w:p>
    <w:sectPr w:rsidR="007E18E2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598C3" w14:textId="77777777" w:rsidR="00B46174" w:rsidRDefault="00B46174">
      <w:pPr>
        <w:spacing w:line="240" w:lineRule="auto"/>
      </w:pPr>
      <w:r>
        <w:separator/>
      </w:r>
    </w:p>
  </w:endnote>
  <w:endnote w:type="continuationSeparator" w:id="0">
    <w:p w14:paraId="2680E2E0" w14:textId="77777777" w:rsidR="00B46174" w:rsidRDefault="00B46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401AE387" w:rsidR="007E18E2" w:rsidRDefault="00B461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D609A7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D609A7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13" w14:textId="77777777" w:rsidR="007E18E2" w:rsidRDefault="007E18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B261" w14:textId="77777777" w:rsidR="00B46174" w:rsidRDefault="00B46174">
      <w:pPr>
        <w:spacing w:line="240" w:lineRule="auto"/>
      </w:pPr>
      <w:r>
        <w:separator/>
      </w:r>
    </w:p>
  </w:footnote>
  <w:footnote w:type="continuationSeparator" w:id="0">
    <w:p w14:paraId="6FF6AA32" w14:textId="77777777" w:rsidR="00B46174" w:rsidRDefault="00B46174">
      <w:pPr>
        <w:spacing w:line="240" w:lineRule="auto"/>
      </w:pPr>
      <w:r>
        <w:continuationSeparator/>
      </w:r>
    </w:p>
  </w:footnote>
  <w:footnote w:id="1">
    <w:p w14:paraId="00000010" w14:textId="77777777" w:rsidR="007E18E2" w:rsidRDefault="00B46174">
      <w:pPr>
        <w:spacing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1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https://www.innovacion.mineduc.cl/iniciativas/tecnologias-de-acceso-universal-para-la-educacion-2022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  <w:footnote w:id="2">
    <w:p w14:paraId="00000011" w14:textId="77777777" w:rsidR="007E18E2" w:rsidRDefault="00B46174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2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https://especial.mineduc.cl/en-junio-se-realizo-el-i-seminario-internacional-tic-y-retos-multiples/</w:t>
        </w:r>
      </w:hyperlink>
      <w:r>
        <w:rPr>
          <w:sz w:val="20"/>
          <w:szCs w:val="20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E2"/>
    <w:rsid w:val="007E18E2"/>
    <w:rsid w:val="00B46174"/>
    <w:rsid w:val="00D6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BC90D-3517-4058-85C7-E75585BB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pecial.mineduc.cl/en-junio-se-realizo-el-i-seminario-internacional-tic-y-retos-multiples/" TargetMode="External"/><Relationship Id="rId1" Type="http://schemas.openxmlformats.org/officeDocument/2006/relationships/hyperlink" Target="https://www.innovacion.mineduc.cl/iniciativas/tecnologias-de-acceso-universal-para-la-educacio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2023-01-11T20:18:00Z</dcterms:created>
  <dcterms:modified xsi:type="dcterms:W3CDTF">2023-01-11T20:18:00Z</dcterms:modified>
</cp:coreProperties>
</file>