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3669" w:rsidRDefault="00B60CA6">
      <w:pPr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N° 6</w:t>
      </w:r>
    </w:p>
    <w:p w14:paraId="00000002" w14:textId="77777777" w:rsidR="00F33669" w:rsidRDefault="00B60CA6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Principales proyectos de ley en materia de discapacidad</w:t>
      </w:r>
    </w:p>
    <w:p w14:paraId="00000003" w14:textId="77777777" w:rsidR="00F33669" w:rsidRDefault="00B60C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hyperlink r:id="rId7">
        <w:r>
          <w:rPr>
            <w:rFonts w:ascii="Verdana" w:eastAsia="Verdana" w:hAnsi="Verdana" w:cs="Verdana"/>
            <w:color w:val="1155CC"/>
            <w:u w:val="single"/>
          </w:rPr>
          <w:t>Boletín N°9.119-18</w:t>
        </w:r>
      </w:hyperlink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color w:val="000000"/>
        </w:rPr>
        <w:t xml:space="preserve"> PdL sobre reforma integral al sistema de adopción en Chile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color w:val="000000"/>
        </w:rPr>
        <w:t xml:space="preserve"> </w:t>
      </w:r>
    </w:p>
    <w:p w14:paraId="00000004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8">
        <w:r>
          <w:rPr>
            <w:rFonts w:ascii="Verdana" w:eastAsia="Verdana" w:hAnsi="Verdana" w:cs="Verdana"/>
            <w:color w:val="1155CC"/>
            <w:u w:val="single"/>
          </w:rPr>
          <w:t>Boletín N°11.077-07</w:t>
        </w:r>
      </w:hyperlink>
      <w:r>
        <w:rPr>
          <w:rFonts w:ascii="Verdana" w:eastAsia="Verdana" w:hAnsi="Verdana" w:cs="Verdana"/>
        </w:rPr>
        <w:t>, PdL sobre el derecho de las mujeres a una vida libre de violencia.</w:t>
      </w:r>
    </w:p>
    <w:p w14:paraId="00000005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9">
        <w:r>
          <w:rPr>
            <w:rFonts w:ascii="Verdana" w:eastAsia="Verdana" w:hAnsi="Verdana" w:cs="Verdana"/>
            <w:color w:val="1155CC"/>
            <w:u w:val="single"/>
          </w:rPr>
          <w:t>Boletín N°11.080-31</w:t>
        </w:r>
      </w:hyperlink>
      <w:r>
        <w:rPr>
          <w:rFonts w:ascii="Verdana" w:eastAsia="Verdana" w:hAnsi="Verdana" w:cs="Verdana"/>
        </w:rPr>
        <w:t xml:space="preserve">, PdL (2017) que modifica la Ley N° 20.422, en el sentido de exigir la implementación de medidas de accesibilidad en las bibliotecas de establecimientos de educación superior.  </w:t>
      </w:r>
    </w:p>
    <w:p w14:paraId="00000006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0">
        <w:r>
          <w:rPr>
            <w:rFonts w:ascii="Verdana" w:eastAsia="Verdana" w:hAnsi="Verdana" w:cs="Verdana"/>
            <w:color w:val="1155CC"/>
            <w:u w:val="single"/>
          </w:rPr>
          <w:t>Boletín N°11.240-31</w:t>
        </w:r>
      </w:hyperlink>
      <w:r>
        <w:rPr>
          <w:rFonts w:ascii="Verdana" w:eastAsia="Verdana" w:hAnsi="Verdana" w:cs="Verdana"/>
        </w:rPr>
        <w:t>, PdL que modifica la ley N°20.422 en el sentido de establecer una definición de discapacidad social que comprenda el síndrome de Asperger y ot</w:t>
      </w:r>
      <w:r>
        <w:rPr>
          <w:rFonts w:ascii="Verdana" w:eastAsia="Verdana" w:hAnsi="Verdana" w:cs="Verdana"/>
        </w:rPr>
        <w:t>ros trastornos del EA.</w:t>
      </w:r>
    </w:p>
    <w:p w14:paraId="00000007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1">
        <w:r>
          <w:rPr>
            <w:rFonts w:ascii="Verdana" w:eastAsia="Verdana" w:hAnsi="Verdana" w:cs="Verdana"/>
            <w:color w:val="1155CC"/>
            <w:u w:val="single"/>
          </w:rPr>
          <w:t>Boletín N°12.213-07</w:t>
        </w:r>
      </w:hyperlink>
      <w:r>
        <w:rPr>
          <w:rFonts w:ascii="Verdana" w:eastAsia="Verdana" w:hAnsi="Verdana" w:cs="Verdana"/>
        </w:rPr>
        <w:t xml:space="preserve">, PdL que modifica diversos textos legales en materia de ejecución de sanciones penales. </w:t>
      </w:r>
    </w:p>
    <w:p w14:paraId="00000008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2">
        <w:r>
          <w:rPr>
            <w:rFonts w:ascii="Verdana" w:eastAsia="Verdana" w:hAnsi="Verdana" w:cs="Verdana"/>
            <w:color w:val="1155CC"/>
            <w:u w:val="single"/>
          </w:rPr>
          <w:t>Boletín N°12.441-17</w:t>
        </w:r>
      </w:hyperlink>
      <w:r>
        <w:rPr>
          <w:rFonts w:ascii="Verdana" w:eastAsia="Verdana" w:hAnsi="Verdana" w:cs="Verdana"/>
        </w:rPr>
        <w:t>, PdL que modifica diversos textos legales con el objeto de eliminar la discriminación en contra de PcD intelectual, cognitiva y psicosocial, y consagrar s</w:t>
      </w:r>
      <w:r>
        <w:rPr>
          <w:rFonts w:ascii="Verdana" w:eastAsia="Verdana" w:hAnsi="Verdana" w:cs="Verdana"/>
        </w:rPr>
        <w:t>u derecho a la autonomía.</w:t>
      </w:r>
    </w:p>
    <w:p w14:paraId="00000009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3">
        <w:r>
          <w:rPr>
            <w:rFonts w:ascii="Verdana" w:eastAsia="Verdana" w:hAnsi="Verdana" w:cs="Verdana"/>
            <w:color w:val="1155CC"/>
            <w:u w:val="single"/>
          </w:rPr>
          <w:t>Boletín N°12.521-07</w:t>
        </w:r>
      </w:hyperlink>
      <w:r>
        <w:rPr>
          <w:rFonts w:ascii="Verdana" w:eastAsia="Verdana" w:hAnsi="Verdana" w:cs="Verdana"/>
        </w:rPr>
        <w:t>, PdL que modifica la Carta Fundamental para eliminar la interdicción por demencia, como causal de suspensió</w:t>
      </w:r>
      <w:r>
        <w:rPr>
          <w:rFonts w:ascii="Verdana" w:eastAsia="Verdana" w:hAnsi="Verdana" w:cs="Verdana"/>
        </w:rPr>
        <w:t>n del derecho a sufragio.</w:t>
      </w:r>
    </w:p>
    <w:p w14:paraId="0000000A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4">
        <w:r>
          <w:rPr>
            <w:rFonts w:ascii="Verdana" w:eastAsia="Verdana" w:hAnsi="Verdana" w:cs="Verdana"/>
            <w:color w:val="1155CC"/>
            <w:u w:val="single"/>
          </w:rPr>
          <w:t>Boletín N°12.612-07</w:t>
        </w:r>
      </w:hyperlink>
      <w:r>
        <w:rPr>
          <w:rFonts w:ascii="Verdana" w:eastAsia="Verdana" w:hAnsi="Verdana" w:cs="Verdana"/>
        </w:rPr>
        <w:t>, PdL que restringe gradualmente la capacidad de ejercicio de los adultos mayores con deterioro cognitivo.</w:t>
      </w:r>
    </w:p>
    <w:p w14:paraId="0000000B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5">
        <w:r>
          <w:rPr>
            <w:rFonts w:ascii="Verdana" w:eastAsia="Verdana" w:hAnsi="Verdana" w:cs="Verdana"/>
            <w:color w:val="1155CC"/>
            <w:u w:val="single"/>
          </w:rPr>
          <w:t>Boletín N°12.748-17</w:t>
        </w:r>
      </w:hyperlink>
      <w:r>
        <w:rPr>
          <w:rFonts w:ascii="Verdana" w:eastAsia="Verdana" w:hAnsi="Verdana" w:cs="Verdana"/>
        </w:rPr>
        <w:t>, que modifica y fortalece la Ley N°20.609 que establece medidas contra la discriminación.</w:t>
      </w:r>
    </w:p>
    <w:p w14:paraId="0000000C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6">
        <w:r>
          <w:rPr>
            <w:rFonts w:ascii="Verdana" w:eastAsia="Verdana" w:hAnsi="Verdana" w:cs="Verdana"/>
            <w:color w:val="1155CC"/>
            <w:u w:val="single"/>
          </w:rPr>
          <w:t>Boletín N°12.816-07</w:t>
        </w:r>
      </w:hyperlink>
      <w:r>
        <w:rPr>
          <w:rFonts w:ascii="Verdana" w:eastAsia="Verdana" w:hAnsi="Verdana" w:cs="Verdana"/>
        </w:rPr>
        <w:t>, proyecto de reforma constitucional que elimina la suspensión del derecho a sufragio de las personas con discapacidad intelectual.</w:t>
      </w:r>
    </w:p>
    <w:p w14:paraId="0000000D" w14:textId="77777777" w:rsidR="00F33669" w:rsidRDefault="00B60CA6">
      <w:pPr>
        <w:numPr>
          <w:ilvl w:val="0"/>
          <w:numId w:val="1"/>
        </w:numPr>
        <w:ind w:right="-41"/>
        <w:jc w:val="both"/>
        <w:rPr>
          <w:rFonts w:ascii="Verdana" w:eastAsia="Verdana" w:hAnsi="Verdana" w:cs="Verdana"/>
        </w:rPr>
      </w:pPr>
      <w:hyperlink r:id="rId17">
        <w:r>
          <w:rPr>
            <w:rFonts w:ascii="Verdana" w:eastAsia="Verdana" w:hAnsi="Verdana" w:cs="Verdana"/>
            <w:color w:val="1155CC"/>
            <w:u w:val="single"/>
          </w:rPr>
          <w:t>Boletín N°13.437-07</w:t>
        </w:r>
      </w:hyperlink>
      <w:r>
        <w:rPr>
          <w:rFonts w:ascii="Verdana" w:eastAsia="Verdana" w:hAnsi="Verdana" w:cs="Verdana"/>
        </w:rPr>
        <w:t>, Modifica la Carta Fundamental, con el objeto de establecer el derecho de conmutación de penas privativas de libertad, por la de arresto</w:t>
      </w:r>
      <w:r>
        <w:rPr>
          <w:rFonts w:ascii="Verdana" w:eastAsia="Verdana" w:hAnsi="Verdana" w:cs="Verdana"/>
        </w:rPr>
        <w:t xml:space="preserve"> domiciliario, en favor de personas mayores de 75 años y que sufran patologías graves o se encuentren privadas de razón.</w:t>
      </w:r>
    </w:p>
    <w:p w14:paraId="0000000E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8">
        <w:r>
          <w:rPr>
            <w:rFonts w:ascii="Verdana" w:eastAsia="Verdana" w:hAnsi="Verdana" w:cs="Verdana"/>
            <w:color w:val="1155CC"/>
            <w:u w:val="single"/>
          </w:rPr>
          <w:t>Boletín N°13.965-3</w:t>
        </w:r>
        <w:r>
          <w:rPr>
            <w:rFonts w:ascii="Verdana" w:eastAsia="Verdana" w:hAnsi="Verdana" w:cs="Verdana"/>
            <w:color w:val="1155CC"/>
            <w:u w:val="single"/>
          </w:rPr>
          <w:t>5</w:t>
        </w:r>
      </w:hyperlink>
      <w:r>
        <w:rPr>
          <w:rFonts w:ascii="Verdana" w:eastAsia="Verdana" w:hAnsi="Verdana" w:cs="Verdana"/>
        </w:rPr>
        <w:t>, PdL (2020) que modifica la Ley N°18.838, que Crea el Consejo Nacional de Televisión, para facultar a la entidad para velar por la inclusión [de la lengua] de señas en los programas infantiles, especialmente para PcD auditiva.</w:t>
      </w:r>
    </w:p>
    <w:p w14:paraId="0000000F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19">
        <w:r>
          <w:rPr>
            <w:rFonts w:ascii="Verdana" w:eastAsia="Verdana" w:hAnsi="Verdana" w:cs="Verdana"/>
            <w:color w:val="1155CC"/>
            <w:u w:val="single"/>
          </w:rPr>
          <w:t>Boletín N°14.218-35</w:t>
        </w:r>
      </w:hyperlink>
      <w:r>
        <w:rPr>
          <w:rFonts w:ascii="Verdana" w:eastAsia="Verdana" w:hAnsi="Verdana" w:cs="Verdana"/>
        </w:rPr>
        <w:t>, PdL (2021) que modifica la ley N°20.609, para exigir, a quienes atiendan público en instituciones públicas o privadas, y en las circunstancias que indica, la u</w:t>
      </w:r>
      <w:r>
        <w:rPr>
          <w:rFonts w:ascii="Verdana" w:eastAsia="Verdana" w:hAnsi="Verdana" w:cs="Verdana"/>
        </w:rPr>
        <w:t xml:space="preserve">tilización de mascarillas transparentes para facilitar la comunicación con personas sordas. </w:t>
      </w:r>
    </w:p>
    <w:p w14:paraId="00000010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20">
        <w:r>
          <w:rPr>
            <w:rFonts w:ascii="Verdana" w:eastAsia="Verdana" w:hAnsi="Verdana" w:cs="Verdana"/>
            <w:color w:val="1155CC"/>
            <w:u w:val="single"/>
          </w:rPr>
          <w:t>Boletín N°14.233-07</w:t>
        </w:r>
      </w:hyperlink>
      <w:r>
        <w:rPr>
          <w:rFonts w:ascii="Verdana" w:eastAsia="Verdana" w:hAnsi="Verdana" w:cs="Verdana"/>
        </w:rPr>
        <w:t xml:space="preserve">, Modifica normas del CPP en materia de </w:t>
      </w:r>
      <w:r>
        <w:rPr>
          <w:rFonts w:ascii="Verdana" w:eastAsia="Verdana" w:hAnsi="Verdana" w:cs="Verdana"/>
        </w:rPr>
        <w:t xml:space="preserve">prisión preventiva. </w:t>
      </w:r>
    </w:p>
    <w:p w14:paraId="00000011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21">
        <w:r>
          <w:rPr>
            <w:rFonts w:ascii="Verdana" w:eastAsia="Verdana" w:hAnsi="Verdana" w:cs="Verdana"/>
            <w:color w:val="1155CC"/>
            <w:u w:val="single"/>
          </w:rPr>
          <w:t>Boletín N°14.445-13</w:t>
        </w:r>
      </w:hyperlink>
      <w:r>
        <w:rPr>
          <w:rFonts w:ascii="Verdana" w:eastAsia="Verdana" w:hAnsi="Verdana" w:cs="Verdana"/>
        </w:rPr>
        <w:t>, refundido con Boletín N°13011-11, N°14445-13 y N°14449-13, PdL que introduce modificaciones al CdT y otros cuer</w:t>
      </w:r>
      <w:r>
        <w:rPr>
          <w:rFonts w:ascii="Verdana" w:eastAsia="Verdana" w:hAnsi="Verdana" w:cs="Verdana"/>
        </w:rPr>
        <w:t>pos legales en materia de inclusión laboral de PcD y asignatarias de pensión de invalidez.</w:t>
      </w:r>
    </w:p>
    <w:p w14:paraId="00000012" w14:textId="77777777" w:rsidR="00F33669" w:rsidRDefault="00B60CA6">
      <w:pPr>
        <w:numPr>
          <w:ilvl w:val="0"/>
          <w:numId w:val="1"/>
        </w:numPr>
        <w:jc w:val="both"/>
        <w:rPr>
          <w:rFonts w:ascii="Verdana" w:eastAsia="Verdana" w:hAnsi="Verdana" w:cs="Verdana"/>
        </w:rPr>
      </w:pPr>
      <w:hyperlink r:id="rId22">
        <w:r>
          <w:rPr>
            <w:rFonts w:ascii="Verdana" w:eastAsia="Verdana" w:hAnsi="Verdana" w:cs="Verdana"/>
            <w:color w:val="1155CC"/>
            <w:u w:val="single"/>
          </w:rPr>
          <w:t>Boletín N°14.783-07</w:t>
        </w:r>
      </w:hyperlink>
      <w:r>
        <w:rPr>
          <w:rFonts w:ascii="Verdana" w:eastAsia="Verdana" w:hAnsi="Verdana" w:cs="Verdana"/>
        </w:rPr>
        <w:t>, PdL que crea un Estatuto de Facilitadores</w:t>
      </w:r>
      <w:r>
        <w:rPr>
          <w:rFonts w:ascii="Verdana" w:eastAsia="Verdana" w:hAnsi="Verdana" w:cs="Verdana"/>
        </w:rPr>
        <w:t xml:space="preserve"> y Asistentes, establece un nuevo procedimiento de interdicción de las personas dementes, y modifica el Código Civil y otros cuerpos legales que indica. </w:t>
      </w:r>
    </w:p>
    <w:p w14:paraId="00000013" w14:textId="77777777" w:rsidR="00F33669" w:rsidRDefault="00F33669">
      <w:pPr>
        <w:jc w:val="both"/>
        <w:rPr>
          <w:rFonts w:ascii="Verdana" w:eastAsia="Verdana" w:hAnsi="Verdana" w:cs="Verdana"/>
        </w:rPr>
      </w:pPr>
    </w:p>
    <w:p w14:paraId="00000014" w14:textId="77777777" w:rsidR="00F33669" w:rsidRDefault="00F33669">
      <w:pPr>
        <w:jc w:val="both"/>
        <w:rPr>
          <w:rFonts w:ascii="Verdana" w:eastAsia="Verdana" w:hAnsi="Verdana" w:cs="Verdana"/>
        </w:rPr>
      </w:pPr>
    </w:p>
    <w:sectPr w:rsidR="00F33669">
      <w:footerReference w:type="default" r:id="rId2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02A1" w14:textId="77777777" w:rsidR="00B60CA6" w:rsidRDefault="00B60CA6">
      <w:pPr>
        <w:spacing w:after="0" w:line="240" w:lineRule="auto"/>
      </w:pPr>
      <w:r>
        <w:separator/>
      </w:r>
    </w:p>
  </w:endnote>
  <w:endnote w:type="continuationSeparator" w:id="0">
    <w:p w14:paraId="4906EE46" w14:textId="77777777" w:rsidR="00B60CA6" w:rsidRDefault="00B6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2B5DD55A" w:rsidR="00F33669" w:rsidRDefault="00B60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BB2AC5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B2AC5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16" w14:textId="77777777" w:rsidR="00F33669" w:rsidRDefault="00F336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BFFD" w14:textId="77777777" w:rsidR="00B60CA6" w:rsidRDefault="00B60CA6">
      <w:pPr>
        <w:spacing w:after="0" w:line="240" w:lineRule="auto"/>
      </w:pPr>
      <w:r>
        <w:separator/>
      </w:r>
    </w:p>
  </w:footnote>
  <w:footnote w:type="continuationSeparator" w:id="0">
    <w:p w14:paraId="4EA5DBCD" w14:textId="77777777" w:rsidR="00B60CA6" w:rsidRDefault="00B60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AE0"/>
    <w:multiLevelType w:val="multilevel"/>
    <w:tmpl w:val="BDA01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69"/>
    <w:rsid w:val="00B60CA6"/>
    <w:rsid w:val="00BB2AC5"/>
    <w:rsid w:val="00F3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691AF-954A-42D5-A17B-14FB6EF2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do.cl/appsenado/templates/tramitacion/index.php?boletin_ini=11077-07" TargetMode="External"/><Relationship Id="rId13" Type="http://schemas.openxmlformats.org/officeDocument/2006/relationships/hyperlink" Target="http://www.senado.cl/appsenado/templates/tramitacion/index.php?boletin_ini=12521-07" TargetMode="External"/><Relationship Id="rId18" Type="http://schemas.openxmlformats.org/officeDocument/2006/relationships/hyperlink" Target="https://www.camara.cl/legislacion/ProyectosDeLey/tramitacion.aspx?prmID=14531&amp;prmBOLETIN=13965-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enado.cl/appsenado/templates/tramitacion/index.php?boletin_ini=14445-13" TargetMode="External"/><Relationship Id="rId7" Type="http://schemas.openxmlformats.org/officeDocument/2006/relationships/hyperlink" Target="http://www.senado.cl/appsenado/templates/tramitacion/index.php?boletin_ini=9119-18" TargetMode="External"/><Relationship Id="rId12" Type="http://schemas.openxmlformats.org/officeDocument/2006/relationships/hyperlink" Target="http://www.senado.cl/appsenado/templates/tramitacion/index.php?boletin_ini=12441-17" TargetMode="External"/><Relationship Id="rId17" Type="http://schemas.openxmlformats.org/officeDocument/2006/relationships/hyperlink" Target="https://www.senado.cl/appsenado/templates/tramitacion/index.php?boletin_ini=13437-0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enado.cl/appsenado/templates/tramitacion/index.php?boletin_ini=12816-07" TargetMode="External"/><Relationship Id="rId20" Type="http://schemas.openxmlformats.org/officeDocument/2006/relationships/hyperlink" Target="https://www.senado.cl/appsenado/templates/tramitacion/index.php?boletin_ini=14233-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ado.cl/appsenado/templates/tramitacion/index.php?boletin_ini=12213-0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amara.cl/legislacion/ProyectosDeLey/tramitacion.aspx?prmID=13286&amp;prmBOLETIN=12748-17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enado.cl/appsenado/templates/tramitacion/index.php?boletin_ini=11240-31" TargetMode="External"/><Relationship Id="rId19" Type="http://schemas.openxmlformats.org/officeDocument/2006/relationships/hyperlink" Target="http://www.senado.cl/appsenado/templates/tramitacion/index.php?boletin_ini=14218-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ara.cl/legislacion/ProyectosDeLey/tramitacion.aspx?prmID=11594&amp;prmBOLETIN=11080-31" TargetMode="External"/><Relationship Id="rId14" Type="http://schemas.openxmlformats.org/officeDocument/2006/relationships/hyperlink" Target="http://www.senado.cl/appsenado/templates/tramitacion/index.php?boletin_ini=12612-07" TargetMode="External"/><Relationship Id="rId22" Type="http://schemas.openxmlformats.org/officeDocument/2006/relationships/hyperlink" Target="http://www.senado.cl/appsenado/templates/tramitacion/index.php?boletin_ini=14783-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2023-01-11T20:20:00Z</dcterms:created>
  <dcterms:modified xsi:type="dcterms:W3CDTF">2023-01-11T20:20:00Z</dcterms:modified>
</cp:coreProperties>
</file>